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0" w:rsidRDefault="00024BD0" w:rsidP="00024BD0">
      <w:pPr>
        <w:widowControl/>
        <w:shd w:val="clear" w:color="auto" w:fill="FFFFFF"/>
        <w:spacing w:line="600" w:lineRule="atLeast"/>
        <w:ind w:firstLineChars="200" w:firstLine="780"/>
        <w:jc w:val="left"/>
        <w:rPr>
          <w:rFonts w:ascii="宋体" w:eastAsia="宋体" w:hAnsi="宋体" w:cs="宋体"/>
          <w:color w:val="000000"/>
          <w:kern w:val="0"/>
          <w:sz w:val="32"/>
          <w:szCs w:val="32"/>
          <w:u w:val="single"/>
        </w:rPr>
      </w:pPr>
      <w:r>
        <w:rPr>
          <w:rFonts w:ascii="微软雅黑" w:eastAsia="微软雅黑" w:hAnsi="微软雅黑" w:hint="eastAsia"/>
          <w:color w:val="434343"/>
          <w:sz w:val="39"/>
          <w:szCs w:val="39"/>
          <w:shd w:val="clear" w:color="auto" w:fill="FFFFFF"/>
        </w:rPr>
        <w:t>会议室LED屏幕采购项目采购公告（第二次）</w:t>
      </w:r>
    </w:p>
    <w:p w:rsidR="00024BD0" w:rsidRPr="00024BD0" w:rsidRDefault="00024BD0" w:rsidP="00024BD0">
      <w:pPr>
        <w:widowControl/>
        <w:shd w:val="clear" w:color="auto" w:fill="FFFFFF"/>
        <w:spacing w:line="600" w:lineRule="atLeast"/>
        <w:ind w:firstLineChars="200" w:firstLine="640"/>
        <w:jc w:val="left"/>
        <w:rPr>
          <w:rFonts w:ascii="宋体" w:eastAsia="宋体" w:hAnsi="宋体" w:cs="宋体"/>
          <w:color w:val="434343"/>
          <w:kern w:val="0"/>
          <w:szCs w:val="21"/>
        </w:rPr>
      </w:pPr>
      <w:r w:rsidRPr="00024BD0">
        <w:rPr>
          <w:rFonts w:ascii="宋体" w:eastAsia="宋体" w:hAnsi="宋体" w:cs="宋体" w:hint="eastAsia"/>
          <w:color w:val="000000"/>
          <w:kern w:val="0"/>
          <w:sz w:val="32"/>
          <w:szCs w:val="32"/>
          <w:u w:val="single"/>
        </w:rPr>
        <w:t>四川司法警官职业学院拟对其所需的会议室LED屏幕进行采购，兹邀请符合本次招标要求的供应商参加投标。</w:t>
      </w:r>
    </w:p>
    <w:p w:rsidR="00024BD0" w:rsidRPr="00024BD0" w:rsidRDefault="00024BD0" w:rsidP="00024BD0">
      <w:pPr>
        <w:widowControl/>
        <w:shd w:val="clear" w:color="auto" w:fill="FFFFFF"/>
        <w:spacing w:line="600" w:lineRule="atLeast"/>
        <w:ind w:firstLine="627"/>
        <w:jc w:val="left"/>
        <w:rPr>
          <w:rFonts w:ascii="宋体" w:eastAsia="宋体" w:hAnsi="宋体" w:cs="宋体"/>
          <w:color w:val="434343"/>
          <w:kern w:val="0"/>
          <w:szCs w:val="21"/>
        </w:rPr>
      </w:pPr>
      <w:r w:rsidRPr="00024BD0">
        <w:rPr>
          <w:rFonts w:ascii="宋体" w:eastAsia="宋体" w:hAnsi="宋体" w:cs="宋体" w:hint="eastAsia"/>
          <w:color w:val="000000"/>
          <w:kern w:val="0"/>
          <w:sz w:val="32"/>
          <w:szCs w:val="32"/>
        </w:rPr>
        <w:t>一、招标项目：会议室LED屏幕采购项目</w:t>
      </w:r>
    </w:p>
    <w:p w:rsidR="00024BD0" w:rsidRPr="00024BD0" w:rsidRDefault="00024BD0" w:rsidP="00024BD0">
      <w:pPr>
        <w:widowControl/>
        <w:shd w:val="clear" w:color="auto" w:fill="FFFFFF"/>
        <w:spacing w:line="600" w:lineRule="atLeast"/>
        <w:ind w:firstLine="627"/>
        <w:jc w:val="left"/>
        <w:rPr>
          <w:rFonts w:ascii="宋体" w:eastAsia="宋体" w:hAnsi="宋体" w:cs="宋体"/>
          <w:color w:val="434343"/>
          <w:kern w:val="0"/>
          <w:szCs w:val="21"/>
        </w:rPr>
      </w:pPr>
      <w:r w:rsidRPr="00024BD0">
        <w:rPr>
          <w:rFonts w:ascii="宋体" w:eastAsia="宋体" w:hAnsi="宋体" w:cs="宋体" w:hint="eastAsia"/>
          <w:color w:val="000000"/>
          <w:kern w:val="0"/>
          <w:sz w:val="32"/>
          <w:szCs w:val="32"/>
        </w:rPr>
        <w:t>二、资金来源：</w:t>
      </w:r>
      <w:r w:rsidRPr="00024BD0">
        <w:rPr>
          <w:rFonts w:ascii="宋体" w:eastAsia="宋体" w:hAnsi="宋体" w:cs="宋体" w:hint="eastAsia"/>
          <w:color w:val="434343"/>
          <w:kern w:val="0"/>
          <w:sz w:val="32"/>
          <w:szCs w:val="32"/>
        </w:rPr>
        <w:t>自有资金、预算：</w:t>
      </w:r>
      <w:r w:rsidR="001978A6">
        <w:rPr>
          <w:rFonts w:ascii="宋体" w:eastAsia="宋体" w:hAnsi="宋体" w:cs="宋体" w:hint="eastAsia"/>
          <w:color w:val="434343"/>
          <w:kern w:val="0"/>
          <w:sz w:val="32"/>
          <w:szCs w:val="32"/>
        </w:rPr>
        <w:t>10万</w:t>
      </w:r>
      <w:r w:rsidRPr="00024BD0">
        <w:rPr>
          <w:rFonts w:ascii="宋体" w:eastAsia="宋体" w:hAnsi="宋体" w:cs="宋体" w:hint="eastAsia"/>
          <w:color w:val="434343"/>
          <w:kern w:val="0"/>
          <w:sz w:val="32"/>
          <w:szCs w:val="32"/>
        </w:rPr>
        <w:t>元。</w:t>
      </w:r>
    </w:p>
    <w:p w:rsidR="00024BD0" w:rsidRPr="00024BD0" w:rsidRDefault="00024BD0" w:rsidP="00024BD0">
      <w:pPr>
        <w:widowControl/>
        <w:shd w:val="clear" w:color="auto" w:fill="FFFFFF"/>
        <w:spacing w:line="600" w:lineRule="atLeast"/>
        <w:ind w:firstLine="627"/>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三、评标方法：综合评分</w:t>
      </w:r>
    </w:p>
    <w:p w:rsidR="00024BD0" w:rsidRPr="00024BD0" w:rsidRDefault="00024BD0" w:rsidP="00024BD0">
      <w:pPr>
        <w:widowControl/>
        <w:shd w:val="clear" w:color="auto" w:fill="FFFFFF"/>
        <w:spacing w:line="600" w:lineRule="atLeast"/>
        <w:ind w:firstLine="627"/>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四、付款方式及时间：转账支付。验收合格后付款95%，余下5%作为质保金，1年后退还。</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000000"/>
          <w:kern w:val="0"/>
          <w:sz w:val="32"/>
          <w:szCs w:val="32"/>
        </w:rPr>
        <w:t>五、投标人应具备的资格条件：</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1、在中国境内注册，并具有独立法人资格的合法企业</w:t>
      </w:r>
      <w:r w:rsidRPr="00024BD0">
        <w:rPr>
          <w:rFonts w:ascii="宋体" w:eastAsia="宋体" w:hAnsi="宋体" w:cs="宋体" w:hint="eastAsia"/>
          <w:color w:val="000000"/>
          <w:kern w:val="0"/>
          <w:sz w:val="32"/>
          <w:szCs w:val="32"/>
        </w:rPr>
        <w:t>；</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2、具有良好的商业信誉和健全的财务会计制度；</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3、具有依法缴纳税收和社会保障资金的良好记录；</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4、具有履行合同所必须的设备和专业技术能力；</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5、参加采购活动前三年，在经营活动中没有重大违法记录；</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6、单位及其现任法定代表人、主要负责人不得具有行贿犯罪记录；</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7、法律、行政法规规定的其他条件；</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六、报名和提交标书及评标</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1、报名时间为2017年11月</w:t>
      </w:r>
      <w:r w:rsidR="0004415F">
        <w:rPr>
          <w:rFonts w:ascii="宋体" w:eastAsia="宋体" w:hAnsi="宋体" w:cs="宋体" w:hint="eastAsia"/>
          <w:color w:val="434343"/>
          <w:kern w:val="0"/>
          <w:sz w:val="32"/>
          <w:szCs w:val="32"/>
        </w:rPr>
        <w:t>15</w:t>
      </w:r>
      <w:r w:rsidRPr="00024BD0">
        <w:rPr>
          <w:rFonts w:ascii="宋体" w:eastAsia="宋体" w:hAnsi="宋体" w:cs="宋体" w:hint="eastAsia"/>
          <w:color w:val="434343"/>
          <w:kern w:val="0"/>
          <w:sz w:val="32"/>
          <w:szCs w:val="32"/>
        </w:rPr>
        <w:t>日至11月</w:t>
      </w:r>
      <w:r w:rsidR="0004415F">
        <w:rPr>
          <w:rFonts w:ascii="宋体" w:eastAsia="宋体" w:hAnsi="宋体" w:cs="宋体" w:hint="eastAsia"/>
          <w:color w:val="434343"/>
          <w:kern w:val="0"/>
          <w:sz w:val="32"/>
          <w:szCs w:val="32"/>
        </w:rPr>
        <w:t>21</w:t>
      </w:r>
      <w:r w:rsidRPr="00024BD0">
        <w:rPr>
          <w:rFonts w:ascii="宋体" w:eastAsia="宋体" w:hAnsi="宋体" w:cs="宋体" w:hint="eastAsia"/>
          <w:color w:val="434343"/>
          <w:kern w:val="0"/>
          <w:sz w:val="32"/>
          <w:szCs w:val="32"/>
        </w:rPr>
        <w:t>日，逾期不再受理。</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lastRenderedPageBreak/>
        <w:t>2、</w:t>
      </w:r>
      <w:r w:rsidR="0004415F">
        <w:rPr>
          <w:rFonts w:ascii="宋体" w:eastAsia="宋体" w:hAnsi="宋体" w:cs="宋体" w:hint="eastAsia"/>
          <w:color w:val="434343"/>
          <w:kern w:val="0"/>
          <w:sz w:val="32"/>
          <w:szCs w:val="32"/>
        </w:rPr>
        <w:t>报名</w:t>
      </w:r>
      <w:r w:rsidRPr="00024BD0">
        <w:rPr>
          <w:rFonts w:ascii="宋体" w:eastAsia="宋体" w:hAnsi="宋体" w:cs="宋体" w:hint="eastAsia"/>
          <w:color w:val="434343"/>
          <w:kern w:val="0"/>
          <w:sz w:val="32"/>
          <w:szCs w:val="32"/>
        </w:rPr>
        <w:t>须持有加盖公章的企业法人营业执照复印件、授权文件及相关有效资质证明文件。</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3、开标时间</w:t>
      </w:r>
      <w:r w:rsidR="0004415F">
        <w:rPr>
          <w:rFonts w:ascii="宋体" w:eastAsia="宋体" w:hAnsi="宋体" w:cs="宋体" w:hint="eastAsia"/>
          <w:color w:val="434343"/>
          <w:kern w:val="0"/>
          <w:sz w:val="32"/>
          <w:szCs w:val="32"/>
        </w:rPr>
        <w:t>：</w:t>
      </w:r>
      <w:r w:rsidRPr="00024BD0">
        <w:rPr>
          <w:rFonts w:ascii="宋体" w:eastAsia="宋体" w:hAnsi="宋体" w:cs="宋体" w:hint="eastAsia"/>
          <w:color w:val="434343"/>
          <w:kern w:val="0"/>
          <w:sz w:val="32"/>
          <w:szCs w:val="32"/>
        </w:rPr>
        <w:t>2017年11月</w:t>
      </w:r>
      <w:r w:rsidR="0004415F">
        <w:rPr>
          <w:rFonts w:ascii="宋体" w:eastAsia="宋体" w:hAnsi="宋体" w:cs="宋体" w:hint="eastAsia"/>
          <w:color w:val="434343"/>
          <w:kern w:val="0"/>
          <w:sz w:val="32"/>
          <w:szCs w:val="32"/>
        </w:rPr>
        <w:t>22</w:t>
      </w:r>
      <w:r w:rsidRPr="00024BD0">
        <w:rPr>
          <w:rFonts w:ascii="宋体" w:eastAsia="宋体" w:hAnsi="宋体" w:cs="宋体" w:hint="eastAsia"/>
          <w:color w:val="434343"/>
          <w:kern w:val="0"/>
          <w:sz w:val="32"/>
          <w:szCs w:val="32"/>
        </w:rPr>
        <w:t>日</w:t>
      </w:r>
      <w:r w:rsidR="0004415F">
        <w:rPr>
          <w:rFonts w:ascii="宋体" w:eastAsia="宋体" w:hAnsi="宋体" w:cs="宋体" w:hint="eastAsia"/>
          <w:color w:val="434343"/>
          <w:kern w:val="0"/>
          <w:sz w:val="32"/>
          <w:szCs w:val="32"/>
        </w:rPr>
        <w:t>上</w:t>
      </w:r>
      <w:r w:rsidRPr="00024BD0">
        <w:rPr>
          <w:rFonts w:ascii="宋体" w:eastAsia="宋体" w:hAnsi="宋体" w:cs="宋体" w:hint="eastAsia"/>
          <w:color w:val="434343"/>
          <w:kern w:val="0"/>
          <w:sz w:val="32"/>
          <w:szCs w:val="32"/>
        </w:rPr>
        <w:t>午</w:t>
      </w:r>
      <w:r w:rsidR="0004415F">
        <w:rPr>
          <w:rFonts w:ascii="宋体" w:eastAsia="宋体" w:hAnsi="宋体" w:cs="宋体" w:hint="eastAsia"/>
          <w:color w:val="434343"/>
          <w:kern w:val="0"/>
          <w:sz w:val="32"/>
          <w:szCs w:val="32"/>
        </w:rPr>
        <w:t>10</w:t>
      </w:r>
      <w:r w:rsidRPr="00024BD0">
        <w:rPr>
          <w:rFonts w:ascii="宋体" w:eastAsia="宋体" w:hAnsi="宋体" w:cs="宋体" w:hint="eastAsia"/>
          <w:color w:val="434343"/>
          <w:kern w:val="0"/>
          <w:sz w:val="32"/>
          <w:szCs w:val="32"/>
        </w:rPr>
        <w:t>时。各投标单位须将投标文件按要求密封递交到开标地点，迟于开标时间递交或不符合招标文件规定的投标文件恕不接受（不接受邮寄）。</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4、递交投标文件正本、副本各一份。</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5、</w:t>
      </w:r>
      <w:r w:rsidRPr="00024BD0">
        <w:rPr>
          <w:rFonts w:ascii="宋体" w:eastAsia="宋体" w:hAnsi="宋体" w:cs="宋体" w:hint="eastAsia"/>
          <w:color w:val="000000"/>
          <w:kern w:val="0"/>
          <w:sz w:val="32"/>
          <w:szCs w:val="32"/>
        </w:rPr>
        <w:t>提交标书和评标地点设在德阳市凯江路二段32号四川司法警官职业学院南校区行政楼5楼会议室。如有变化，将提前2日通知。</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000000"/>
          <w:kern w:val="0"/>
          <w:sz w:val="32"/>
          <w:szCs w:val="32"/>
        </w:rPr>
        <w:t>七、各供应商自行下载相关资料，并按照相关要求准备资料，装订成册。</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八、采购人：</w:t>
      </w:r>
      <w:r w:rsidRPr="00024BD0">
        <w:rPr>
          <w:rFonts w:ascii="宋体" w:eastAsia="宋体" w:hAnsi="宋体" w:cs="宋体" w:hint="eastAsia"/>
          <w:color w:val="000000"/>
          <w:kern w:val="0"/>
          <w:sz w:val="32"/>
          <w:szCs w:val="32"/>
        </w:rPr>
        <w:t>四川司法警官职业学院</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地 址：德阳市旌阳区凯江路二段32号</w:t>
      </w:r>
      <w:r w:rsidRPr="00024BD0">
        <w:rPr>
          <w:rFonts w:ascii="宋体" w:eastAsia="宋体" w:hAnsi="宋体" w:cs="宋体" w:hint="eastAsia"/>
          <w:color w:val="434343"/>
          <w:spacing w:val="8"/>
          <w:kern w:val="0"/>
          <w:sz w:val="32"/>
          <w:szCs w:val="32"/>
        </w:rPr>
        <w:t>。</w:t>
      </w:r>
    </w:p>
    <w:p w:rsidR="00024BD0" w:rsidRPr="00024BD0" w:rsidRDefault="00024BD0" w:rsidP="00024BD0">
      <w:pPr>
        <w:widowControl/>
        <w:shd w:val="clear" w:color="auto" w:fill="FFFFFF"/>
        <w:spacing w:line="600" w:lineRule="atLeast"/>
        <w:ind w:firstLine="640"/>
        <w:jc w:val="left"/>
        <w:rPr>
          <w:rFonts w:ascii="宋体" w:eastAsia="宋体" w:hAnsi="宋体" w:cs="宋体"/>
          <w:color w:val="434343"/>
          <w:kern w:val="0"/>
          <w:szCs w:val="21"/>
        </w:rPr>
      </w:pPr>
      <w:r w:rsidRPr="00024BD0">
        <w:rPr>
          <w:rFonts w:ascii="宋体" w:eastAsia="宋体" w:hAnsi="宋体" w:cs="宋体" w:hint="eastAsia"/>
          <w:color w:val="434343"/>
          <w:kern w:val="0"/>
          <w:sz w:val="32"/>
          <w:szCs w:val="32"/>
        </w:rPr>
        <w:t>联系人：何老师</w:t>
      </w:r>
    </w:p>
    <w:p w:rsidR="00024BD0" w:rsidRDefault="00024BD0" w:rsidP="00024BD0">
      <w:pPr>
        <w:widowControl/>
        <w:shd w:val="clear" w:color="auto" w:fill="FFFFFF"/>
        <w:spacing w:line="600" w:lineRule="atLeast"/>
        <w:ind w:firstLine="640"/>
        <w:jc w:val="left"/>
        <w:rPr>
          <w:rFonts w:ascii="宋体" w:eastAsia="宋体" w:hAnsi="宋体" w:cs="宋体"/>
          <w:color w:val="434343"/>
          <w:kern w:val="0"/>
          <w:sz w:val="32"/>
          <w:szCs w:val="32"/>
        </w:rPr>
      </w:pPr>
      <w:r w:rsidRPr="00024BD0">
        <w:rPr>
          <w:rFonts w:ascii="宋体" w:eastAsia="宋体" w:hAnsi="宋体" w:cs="宋体" w:hint="eastAsia"/>
          <w:color w:val="434343"/>
          <w:kern w:val="0"/>
          <w:sz w:val="32"/>
          <w:szCs w:val="32"/>
        </w:rPr>
        <w:t>电 话：0838</w:t>
      </w:r>
      <w:r w:rsidR="0004415F">
        <w:rPr>
          <w:rFonts w:ascii="宋体" w:eastAsia="宋体" w:hAnsi="宋体" w:cs="宋体"/>
          <w:color w:val="434343"/>
          <w:kern w:val="0"/>
          <w:sz w:val="32"/>
          <w:szCs w:val="32"/>
        </w:rPr>
        <w:t>—</w:t>
      </w:r>
      <w:r w:rsidRPr="00024BD0">
        <w:rPr>
          <w:rFonts w:ascii="宋体" w:eastAsia="宋体" w:hAnsi="宋体" w:cs="宋体" w:hint="eastAsia"/>
          <w:color w:val="434343"/>
          <w:kern w:val="0"/>
          <w:sz w:val="32"/>
          <w:szCs w:val="32"/>
        </w:rPr>
        <w:t>2516977</w:t>
      </w:r>
    </w:p>
    <w:p w:rsidR="0004415F" w:rsidRPr="0004415F" w:rsidRDefault="0004415F" w:rsidP="0004415F">
      <w:pPr>
        <w:widowControl/>
        <w:shd w:val="clear" w:color="auto" w:fill="FFFFFF"/>
        <w:spacing w:line="315" w:lineRule="atLeast"/>
        <w:ind w:firstLine="2891"/>
        <w:jc w:val="left"/>
        <w:rPr>
          <w:rFonts w:ascii="宋体" w:eastAsia="宋体" w:hAnsi="宋体" w:cs="宋体"/>
          <w:color w:val="434343"/>
          <w:kern w:val="0"/>
          <w:szCs w:val="21"/>
        </w:rPr>
      </w:pPr>
      <w:r w:rsidRPr="0004415F">
        <w:rPr>
          <w:rFonts w:ascii="宋体" w:eastAsia="宋体" w:hAnsi="宋体" w:cs="宋体" w:hint="eastAsia"/>
          <w:b/>
          <w:bCs/>
          <w:color w:val="434343"/>
          <w:kern w:val="0"/>
          <w:sz w:val="36"/>
          <w:szCs w:val="36"/>
        </w:rPr>
        <w:t>招标项目及要求</w:t>
      </w:r>
    </w:p>
    <w:p w:rsidR="0004415F" w:rsidRPr="0004415F" w:rsidRDefault="0004415F" w:rsidP="0004415F">
      <w:pPr>
        <w:widowControl/>
        <w:shd w:val="clear" w:color="auto" w:fill="FFFFFF"/>
        <w:spacing w:line="315" w:lineRule="atLeast"/>
        <w:ind w:firstLine="551"/>
        <w:jc w:val="left"/>
        <w:rPr>
          <w:rFonts w:ascii="宋体" w:eastAsia="宋体" w:hAnsi="宋体" w:cs="宋体"/>
          <w:color w:val="434343"/>
          <w:kern w:val="0"/>
          <w:szCs w:val="21"/>
        </w:rPr>
      </w:pPr>
      <w:bookmarkStart w:id="0" w:name="_Toc217446096"/>
      <w:r w:rsidRPr="0004415F">
        <w:rPr>
          <w:rFonts w:ascii="宋体" w:eastAsia="宋体" w:hAnsi="宋体" w:cs="宋体" w:hint="eastAsia"/>
          <w:b/>
          <w:bCs/>
          <w:color w:val="000000"/>
          <w:kern w:val="0"/>
          <w:sz w:val="28"/>
          <w:szCs w:val="28"/>
        </w:rPr>
        <w:t>一、采购需求、参数配置及相关要求：</w:t>
      </w:r>
      <w:bookmarkEnd w:id="0"/>
    </w:p>
    <w:tbl>
      <w:tblPr>
        <w:tblW w:w="9000" w:type="dxa"/>
        <w:jc w:val="center"/>
        <w:tblCellMar>
          <w:left w:w="0" w:type="dxa"/>
          <w:right w:w="0" w:type="dxa"/>
        </w:tblCellMar>
        <w:tblLook w:val="04A0"/>
      </w:tblPr>
      <w:tblGrid>
        <w:gridCol w:w="558"/>
        <w:gridCol w:w="878"/>
        <w:gridCol w:w="5958"/>
        <w:gridCol w:w="445"/>
        <w:gridCol w:w="760"/>
        <w:gridCol w:w="401"/>
      </w:tblGrid>
      <w:tr w:rsidR="0004415F" w:rsidRPr="0004415F" w:rsidTr="0004415F">
        <w:trPr>
          <w:trHeight w:val="690"/>
          <w:jc w:val="center"/>
        </w:trPr>
        <w:tc>
          <w:tcPr>
            <w:tcW w:w="5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b/>
                <w:bCs/>
                <w:kern w:val="0"/>
                <w:sz w:val="24"/>
                <w:szCs w:val="24"/>
              </w:rPr>
              <w:t>序号</w:t>
            </w:r>
          </w:p>
        </w:tc>
        <w:tc>
          <w:tcPr>
            <w:tcW w:w="90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b/>
                <w:bCs/>
                <w:kern w:val="0"/>
                <w:sz w:val="24"/>
                <w:szCs w:val="24"/>
              </w:rPr>
              <w:t>产品</w:t>
            </w:r>
          </w:p>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b/>
                <w:bCs/>
                <w:kern w:val="0"/>
                <w:sz w:val="24"/>
                <w:szCs w:val="24"/>
              </w:rPr>
              <w:t>名称</w:t>
            </w:r>
          </w:p>
        </w:tc>
        <w:tc>
          <w:tcPr>
            <w:tcW w:w="6251"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b/>
                <w:bCs/>
                <w:kern w:val="0"/>
                <w:sz w:val="24"/>
                <w:szCs w:val="24"/>
              </w:rPr>
              <w:t>规格</w:t>
            </w:r>
          </w:p>
        </w:tc>
        <w:tc>
          <w:tcPr>
            <w:tcW w:w="450"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b/>
                <w:bCs/>
                <w:kern w:val="0"/>
                <w:sz w:val="24"/>
                <w:szCs w:val="24"/>
              </w:rPr>
              <w:t>单位</w:t>
            </w:r>
          </w:p>
        </w:tc>
        <w:tc>
          <w:tcPr>
            <w:tcW w:w="510"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b/>
                <w:bCs/>
                <w:kern w:val="0"/>
                <w:sz w:val="24"/>
                <w:szCs w:val="24"/>
              </w:rPr>
              <w:t>数量</w:t>
            </w:r>
          </w:p>
        </w:tc>
        <w:tc>
          <w:tcPr>
            <w:tcW w:w="317"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b/>
                <w:bCs/>
                <w:kern w:val="0"/>
                <w:sz w:val="24"/>
                <w:szCs w:val="24"/>
              </w:rPr>
              <w:t>备注</w:t>
            </w:r>
          </w:p>
        </w:tc>
      </w:tr>
      <w:tr w:rsidR="0004415F" w:rsidRPr="0004415F" w:rsidTr="0004415F">
        <w:trPr>
          <w:trHeight w:val="2952"/>
          <w:jc w:val="center"/>
        </w:trPr>
        <w:tc>
          <w:tcPr>
            <w:tcW w:w="574"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lastRenderedPageBreak/>
              <w:t>1</w:t>
            </w:r>
          </w:p>
        </w:tc>
        <w:tc>
          <w:tcPr>
            <w:tcW w:w="90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★室内LED显示屏幕</w:t>
            </w:r>
          </w:p>
        </w:tc>
        <w:tc>
          <w:tcPr>
            <w:tcW w:w="625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屏体净显示面积：（4.16宽） ×（2.4高） =9.984平米。</w:t>
            </w:r>
          </w:p>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1、*像素间距2.5mm</w:t>
            </w:r>
          </w:p>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2、*模组尺寸320*160*15mm</w:t>
            </w:r>
          </w:p>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3、*支持单点亮度和色度校正，更换模组，自动回读校正数据（提供CNAS认可实验室出具的检测报告）</w:t>
            </w:r>
          </w:p>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4、*对比度5000:1（提供CNAS认可实验室出具的检测报告）</w:t>
            </w:r>
          </w:p>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5、*模组亮度均匀性≥98%（提供CNAS认可实验室出具的检测报告）</w:t>
            </w:r>
          </w:p>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6、*寿命典型值≥50000小时（提供CNAS认可实验室出具的检测报告）</w:t>
            </w:r>
          </w:p>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7、*按照SJ/T 11590-2016 LED显示屏图像主观质量评价方法的要求，评价等价为优（提供CNAS认可实验室出具的检测报告）</w:t>
            </w:r>
          </w:p>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8、有全国质量服务信誉双保障产品认证（提供复印件加盖厂家鲜章）</w:t>
            </w:r>
          </w:p>
          <w:p w:rsidR="0004415F" w:rsidRPr="0004415F" w:rsidRDefault="0004415F" w:rsidP="0004415F">
            <w:pPr>
              <w:widowControl/>
              <w:spacing w:line="400" w:lineRule="atLeast"/>
              <w:jc w:val="left"/>
              <w:textAlignment w:val="center"/>
              <w:rPr>
                <w:rFonts w:ascii="宋体" w:eastAsia="宋体" w:hAnsi="宋体" w:cs="宋体"/>
                <w:kern w:val="0"/>
                <w:sz w:val="24"/>
                <w:szCs w:val="24"/>
              </w:rPr>
            </w:pPr>
            <w:r w:rsidRPr="0004415F">
              <w:rPr>
                <w:rFonts w:ascii="宋体" w:eastAsia="宋体" w:hAnsi="宋体" w:cs="宋体"/>
                <w:kern w:val="0"/>
                <w:sz w:val="24"/>
                <w:szCs w:val="24"/>
              </w:rPr>
              <w:t> </w:t>
            </w:r>
          </w:p>
        </w:tc>
        <w:tc>
          <w:tcPr>
            <w:tcW w:w="45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80" w:lineRule="atLeast"/>
              <w:jc w:val="left"/>
              <w:rPr>
                <w:rFonts w:ascii="宋体" w:eastAsia="宋体" w:hAnsi="宋体" w:cs="宋体"/>
                <w:kern w:val="0"/>
                <w:sz w:val="24"/>
                <w:szCs w:val="24"/>
              </w:rPr>
            </w:pPr>
            <w:r w:rsidRPr="0004415F">
              <w:rPr>
                <w:rFonts w:ascii="宋体" w:eastAsia="宋体" w:hAnsi="宋体" w:cs="宋体"/>
                <w:kern w:val="0"/>
                <w:sz w:val="24"/>
                <w:szCs w:val="24"/>
              </w:rPr>
              <w:t> </w:t>
            </w:r>
          </w:p>
          <w:p w:rsidR="0004415F" w:rsidRPr="0004415F" w:rsidRDefault="0004415F" w:rsidP="0004415F">
            <w:pPr>
              <w:widowControl/>
              <w:spacing w:line="315" w:lineRule="atLeast"/>
              <w:jc w:val="left"/>
              <w:rPr>
                <w:rFonts w:ascii="宋体" w:eastAsia="宋体" w:hAnsi="宋体" w:cs="宋体"/>
                <w:kern w:val="0"/>
                <w:sz w:val="24"/>
                <w:szCs w:val="24"/>
              </w:rPr>
            </w:pPr>
            <w:r w:rsidRPr="0004415F">
              <w:rPr>
                <w:rFonts w:ascii="宋体" w:eastAsia="宋体" w:hAnsi="宋体" w:cs="宋体"/>
                <w:kern w:val="0"/>
                <w:sz w:val="24"/>
                <w:szCs w:val="24"/>
              </w:rPr>
              <w:t>平方米</w:t>
            </w:r>
          </w:p>
        </w:tc>
        <w:tc>
          <w:tcPr>
            <w:tcW w:w="51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9.984</w:t>
            </w:r>
          </w:p>
        </w:tc>
        <w:tc>
          <w:tcPr>
            <w:tcW w:w="317"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 </w:t>
            </w:r>
          </w:p>
        </w:tc>
      </w:tr>
      <w:tr w:rsidR="0004415F" w:rsidRPr="0004415F" w:rsidTr="0004415F">
        <w:trPr>
          <w:trHeight w:val="5973"/>
          <w:jc w:val="center"/>
        </w:trPr>
        <w:tc>
          <w:tcPr>
            <w:tcW w:w="574"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2</w:t>
            </w:r>
          </w:p>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 </w:t>
            </w:r>
          </w:p>
        </w:tc>
        <w:tc>
          <w:tcPr>
            <w:tcW w:w="90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left"/>
              <w:rPr>
                <w:rFonts w:ascii="宋体" w:eastAsia="宋体" w:hAnsi="宋体" w:cs="宋体"/>
                <w:kern w:val="0"/>
                <w:sz w:val="24"/>
                <w:szCs w:val="24"/>
              </w:rPr>
            </w:pPr>
            <w:r w:rsidRPr="0004415F">
              <w:rPr>
                <w:rFonts w:ascii="宋体" w:eastAsia="宋体" w:hAnsi="宋体" w:cs="宋体"/>
                <w:kern w:val="0"/>
                <w:sz w:val="24"/>
                <w:szCs w:val="24"/>
              </w:rPr>
              <w:t>控制</w:t>
            </w:r>
          </w:p>
          <w:p w:rsidR="0004415F" w:rsidRPr="0004415F" w:rsidRDefault="0004415F" w:rsidP="0004415F">
            <w:pPr>
              <w:widowControl/>
              <w:spacing w:line="315" w:lineRule="atLeast"/>
              <w:jc w:val="left"/>
              <w:rPr>
                <w:rFonts w:ascii="宋体" w:eastAsia="宋体" w:hAnsi="宋体" w:cs="宋体"/>
                <w:kern w:val="0"/>
                <w:sz w:val="24"/>
                <w:szCs w:val="24"/>
              </w:rPr>
            </w:pPr>
            <w:r w:rsidRPr="0004415F">
              <w:rPr>
                <w:rFonts w:ascii="宋体" w:eastAsia="宋体" w:hAnsi="宋体" w:cs="宋体"/>
                <w:kern w:val="0"/>
                <w:sz w:val="24"/>
                <w:szCs w:val="24"/>
              </w:rPr>
              <w:t>软件</w:t>
            </w:r>
          </w:p>
        </w:tc>
        <w:tc>
          <w:tcPr>
            <w:tcW w:w="625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支持中英文Windows7/me/2000/NT/XP 。本显示屏的控制系统采用诺瓦控制系统，主要有以下指标和参数：</w:t>
            </w:r>
            <w:hyperlink r:id="rId6" w:tgtFrame="_blank" w:history="1">
              <w:r w:rsidRPr="0004415F">
                <w:rPr>
                  <w:rFonts w:ascii="宋体" w:eastAsia="宋体" w:hAnsi="宋体" w:cs="宋体"/>
                  <w:kern w:val="0"/>
                  <w:sz w:val="24"/>
                  <w:szCs w:val="24"/>
                </w:rPr>
                <w:t>千兆技术；逐点校正、逐卡校正功能；智能识别一卡通功能；刷新率任意设置、锁相、同步功能；双倍超大带载面积；双网线热备份功能；多屏同步及组合功能；声音传输功能；程序在线升级功能；突破传统观念无拨码开关；超长传输距离。</w:t>
              </w:r>
            </w:hyperlink>
            <w:r w:rsidRPr="0004415F">
              <w:rPr>
                <w:rFonts w:ascii="宋体" w:eastAsia="宋体" w:hAnsi="宋体" w:cs="宋体"/>
                <w:kern w:val="0"/>
                <w:sz w:val="24"/>
                <w:szCs w:val="24"/>
              </w:rPr>
              <w:t>智能连接功能；智能监控；支持16位以内的任意扫描方式；支持模块宽度为64以内的任意数；支持异型分割显示；支持容余点插入；接视频卡或电视机，转播广播电视及卫星电视；能实现主要时事新闻的编辑与播放；能实现各种通告的即时发布；播放广告信息，动态发布各种信息；可以播放AVI、MOV、MPG、DAT、VOB等各种格式的文件。亮度、对比度、饱和度、色度可以通过软件调节。具有图象降噪、增强及运动补偿功能。具有图像冻结功能。具有Video影像压缩控制功能。播放计算机信息功能：可显示各种文字、图形、</w:t>
            </w:r>
            <w:r w:rsidRPr="0004415F">
              <w:rPr>
                <w:rFonts w:ascii="宋体" w:eastAsia="宋体" w:hAnsi="宋体" w:cs="宋体"/>
                <w:kern w:val="0"/>
                <w:sz w:val="24"/>
                <w:szCs w:val="24"/>
              </w:rPr>
              <w:lastRenderedPageBreak/>
              <w:t>静态图片及动画等。可灵活输入及播出多种信息。播出方式有左右流动、上下流动、左右推动、上下推动、旋转、放大缩小等20种以上的方式。可以开若干个窗口，同屏显示多路视频、文字、图形及动画。时钟显示功能：显示屏可以用软件实现时钟显示。</w:t>
            </w:r>
          </w:p>
        </w:tc>
        <w:tc>
          <w:tcPr>
            <w:tcW w:w="45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0" w:lineRule="atLeast"/>
              <w:jc w:val="left"/>
              <w:rPr>
                <w:rFonts w:ascii="宋体" w:eastAsia="宋体" w:hAnsi="宋体" w:cs="宋体"/>
                <w:kern w:val="0"/>
                <w:sz w:val="24"/>
                <w:szCs w:val="24"/>
              </w:rPr>
            </w:pPr>
            <w:r w:rsidRPr="0004415F">
              <w:rPr>
                <w:rFonts w:ascii="宋体" w:eastAsia="宋体" w:hAnsi="宋体" w:cs="宋体"/>
                <w:kern w:val="0"/>
                <w:sz w:val="24"/>
                <w:szCs w:val="24"/>
              </w:rPr>
              <w:lastRenderedPageBreak/>
              <w:t> </w:t>
            </w:r>
          </w:p>
          <w:p w:rsidR="0004415F" w:rsidRPr="0004415F" w:rsidRDefault="0004415F" w:rsidP="0004415F">
            <w:pPr>
              <w:widowControl/>
              <w:spacing w:line="280" w:lineRule="atLeast"/>
              <w:jc w:val="left"/>
              <w:rPr>
                <w:rFonts w:ascii="宋体" w:eastAsia="宋体" w:hAnsi="宋体" w:cs="宋体"/>
                <w:kern w:val="0"/>
                <w:sz w:val="24"/>
                <w:szCs w:val="24"/>
              </w:rPr>
            </w:pPr>
            <w:r w:rsidRPr="0004415F">
              <w:rPr>
                <w:rFonts w:ascii="宋体" w:eastAsia="宋体" w:hAnsi="宋体" w:cs="宋体"/>
                <w:kern w:val="0"/>
                <w:sz w:val="24"/>
                <w:szCs w:val="24"/>
                <w:shd w:val="clear" w:color="auto" w:fill="FFFFFF"/>
              </w:rPr>
              <w:t>套</w:t>
            </w:r>
          </w:p>
        </w:tc>
        <w:tc>
          <w:tcPr>
            <w:tcW w:w="51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shd w:val="clear" w:color="auto" w:fill="FFFFFF"/>
              </w:rPr>
              <w:t>1</w:t>
            </w:r>
          </w:p>
        </w:tc>
        <w:tc>
          <w:tcPr>
            <w:tcW w:w="317"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 </w:t>
            </w:r>
          </w:p>
        </w:tc>
      </w:tr>
      <w:tr w:rsidR="0004415F" w:rsidRPr="0004415F" w:rsidTr="0004415F">
        <w:trPr>
          <w:trHeight w:val="2648"/>
          <w:jc w:val="center"/>
        </w:trPr>
        <w:tc>
          <w:tcPr>
            <w:tcW w:w="574"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lastRenderedPageBreak/>
              <w:t>3</w:t>
            </w:r>
          </w:p>
        </w:tc>
        <w:tc>
          <w:tcPr>
            <w:tcW w:w="90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发送卡</w:t>
            </w:r>
          </w:p>
        </w:tc>
        <w:tc>
          <w:tcPr>
            <w:tcW w:w="625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00" w:lineRule="atLeast"/>
              <w:jc w:val="left"/>
              <w:textAlignment w:val="center"/>
              <w:rPr>
                <w:rFonts w:ascii="宋体" w:eastAsia="宋体" w:hAnsi="宋体" w:cs="宋体"/>
                <w:kern w:val="0"/>
                <w:sz w:val="24"/>
                <w:szCs w:val="24"/>
              </w:rPr>
            </w:pPr>
            <w:r w:rsidRPr="0004415F">
              <w:rPr>
                <w:rFonts w:ascii="宋体" w:eastAsia="宋体" w:hAnsi="宋体" w:cs="宋体"/>
                <w:kern w:val="0"/>
                <w:sz w:val="24"/>
                <w:szCs w:val="24"/>
              </w:rPr>
              <w:t>1.一路 DVI 视频输入； 2.一路 HDMI 高清视频输入；一路音频输入；3.支持音频输入，通过网线同步传输；4.四路网口输出,支持两上下、左右任意拼接； 5.双USB接口进行数据通讯接口控制，可级联多台进行统一控制，，方便级联拼接，严格同步；支持分辨率任意设置；； 7.一路光探头接口；8.支持低亮高灰；9.支持DC 3.8~12V超宽工作电压，更强适应性；10.HDMI 和DVI视频信号输入及HDMI信号LOOP输出；11.单卡最大带载面积：130万像素，最宽可达2560点，或最高可达2560点；12.支持多发送器任意拼接级联，严格同步；13.支持亮度和色温调节；</w:t>
            </w:r>
          </w:p>
        </w:tc>
        <w:tc>
          <w:tcPr>
            <w:tcW w:w="45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0" w:lineRule="atLeast"/>
              <w:jc w:val="center"/>
              <w:rPr>
                <w:rFonts w:ascii="宋体" w:eastAsia="宋体" w:hAnsi="宋体" w:cs="宋体"/>
                <w:kern w:val="0"/>
                <w:sz w:val="24"/>
                <w:szCs w:val="24"/>
              </w:rPr>
            </w:pPr>
            <w:r w:rsidRPr="0004415F">
              <w:rPr>
                <w:rFonts w:ascii="宋体" w:eastAsia="宋体" w:hAnsi="宋体" w:cs="宋体"/>
                <w:kern w:val="0"/>
                <w:sz w:val="24"/>
                <w:szCs w:val="24"/>
              </w:rPr>
              <w:t> </w:t>
            </w:r>
          </w:p>
          <w:p w:rsidR="0004415F" w:rsidRPr="0004415F" w:rsidRDefault="0004415F" w:rsidP="0004415F">
            <w:pPr>
              <w:widowControl/>
              <w:spacing w:line="280" w:lineRule="atLeast"/>
              <w:jc w:val="center"/>
              <w:rPr>
                <w:rFonts w:ascii="宋体" w:eastAsia="宋体" w:hAnsi="宋体" w:cs="宋体"/>
                <w:kern w:val="0"/>
                <w:sz w:val="24"/>
                <w:szCs w:val="24"/>
              </w:rPr>
            </w:pPr>
            <w:r w:rsidRPr="0004415F">
              <w:rPr>
                <w:rFonts w:ascii="宋体" w:eastAsia="宋体" w:hAnsi="宋体" w:cs="宋体"/>
                <w:kern w:val="0"/>
                <w:sz w:val="24"/>
                <w:szCs w:val="24"/>
              </w:rPr>
              <w:t>张</w:t>
            </w:r>
          </w:p>
        </w:tc>
        <w:tc>
          <w:tcPr>
            <w:tcW w:w="51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2</w:t>
            </w:r>
          </w:p>
        </w:tc>
        <w:tc>
          <w:tcPr>
            <w:tcW w:w="317"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 </w:t>
            </w:r>
          </w:p>
        </w:tc>
      </w:tr>
      <w:tr w:rsidR="0004415F" w:rsidRPr="0004415F" w:rsidTr="0004415F">
        <w:trPr>
          <w:trHeight w:val="4063"/>
          <w:jc w:val="center"/>
        </w:trPr>
        <w:tc>
          <w:tcPr>
            <w:tcW w:w="574"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lastRenderedPageBreak/>
              <w:t>4</w:t>
            </w:r>
          </w:p>
        </w:tc>
        <w:tc>
          <w:tcPr>
            <w:tcW w:w="90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接收卡</w:t>
            </w:r>
          </w:p>
        </w:tc>
        <w:tc>
          <w:tcPr>
            <w:tcW w:w="625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1、单卡输出 RGB 数据 32 组；2、配置文件回读3、温度监控;4、网线通讯状态检测5、供电电压检测；6、逐点亮色度校正7、支持接收卡预存画面设置8、集成16个HUB75接口，无需再配转接板，更方便；9减少接插连接件，减少故障点，故障率更低；10支持常规芯片实现高刷新、高灰度、高亮度；11、全新灰度引擎，低灰度表现更佳；细节处理更完美，可消除单元板设计引起的某行偏暗、低灰偏红、鬼影等细节问题；12、支持14bit精度逐点校正；13、支持所有常规芯片、PWM芯片和灯饰芯片；14、支持静态屏、1/32扫之间的任意扫描类型；15、支持任意抽点，支持数据偏移，可轻松实现各种异型屏、球形屏、创意显示屏；16、单卡支持32组RGB信号输出；17、支持超大带载面积256×256；18、先进设计，优质元器件，全自动高低温老化测试，零故障出厂；19、支持DC 3.3V~6V超宽工作电压，有效减弱电压波动带来的影响；支持电源反接保护电路；</w:t>
            </w:r>
          </w:p>
        </w:tc>
        <w:tc>
          <w:tcPr>
            <w:tcW w:w="45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200" w:lineRule="atLeast"/>
              <w:jc w:val="left"/>
              <w:rPr>
                <w:rFonts w:ascii="宋体" w:eastAsia="宋体" w:hAnsi="宋体" w:cs="宋体"/>
                <w:kern w:val="0"/>
                <w:sz w:val="24"/>
                <w:szCs w:val="24"/>
              </w:rPr>
            </w:pPr>
            <w:r w:rsidRPr="0004415F">
              <w:rPr>
                <w:rFonts w:ascii="宋体" w:eastAsia="宋体" w:hAnsi="宋体" w:cs="宋体"/>
                <w:kern w:val="0"/>
                <w:sz w:val="24"/>
                <w:szCs w:val="24"/>
              </w:rPr>
              <w:t> </w:t>
            </w:r>
          </w:p>
          <w:p w:rsidR="0004415F" w:rsidRPr="0004415F" w:rsidRDefault="0004415F" w:rsidP="0004415F">
            <w:pPr>
              <w:widowControl/>
              <w:spacing w:line="315" w:lineRule="atLeast"/>
              <w:jc w:val="left"/>
              <w:rPr>
                <w:rFonts w:ascii="宋体" w:eastAsia="宋体" w:hAnsi="宋体" w:cs="宋体"/>
                <w:kern w:val="0"/>
                <w:sz w:val="24"/>
                <w:szCs w:val="24"/>
              </w:rPr>
            </w:pPr>
            <w:r w:rsidRPr="0004415F">
              <w:rPr>
                <w:rFonts w:ascii="宋体" w:eastAsia="宋体" w:hAnsi="宋体" w:cs="宋体"/>
                <w:kern w:val="0"/>
                <w:sz w:val="24"/>
                <w:szCs w:val="24"/>
              </w:rPr>
              <w:t>张</w:t>
            </w:r>
          </w:p>
        </w:tc>
        <w:tc>
          <w:tcPr>
            <w:tcW w:w="51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80" w:lineRule="atLeast"/>
              <w:jc w:val="center"/>
              <w:rPr>
                <w:rFonts w:ascii="宋体" w:eastAsia="宋体" w:hAnsi="宋体" w:cs="宋体"/>
                <w:kern w:val="0"/>
                <w:sz w:val="24"/>
                <w:szCs w:val="24"/>
              </w:rPr>
            </w:pPr>
            <w:r w:rsidRPr="0004415F">
              <w:rPr>
                <w:rFonts w:ascii="宋体" w:eastAsia="宋体" w:hAnsi="宋体" w:cs="宋体"/>
                <w:kern w:val="0"/>
                <w:sz w:val="24"/>
                <w:szCs w:val="24"/>
                <w:shd w:val="clear" w:color="auto" w:fill="FFFFFF"/>
              </w:rPr>
              <w:t>26</w:t>
            </w:r>
          </w:p>
          <w:p w:rsidR="0004415F" w:rsidRPr="0004415F" w:rsidRDefault="0004415F" w:rsidP="0004415F">
            <w:pPr>
              <w:widowControl/>
              <w:spacing w:line="160" w:lineRule="atLeast"/>
              <w:jc w:val="center"/>
              <w:rPr>
                <w:rFonts w:ascii="宋体" w:eastAsia="宋体" w:hAnsi="宋体" w:cs="宋体"/>
                <w:kern w:val="0"/>
                <w:sz w:val="24"/>
                <w:szCs w:val="24"/>
              </w:rPr>
            </w:pPr>
            <w:r w:rsidRPr="0004415F">
              <w:rPr>
                <w:rFonts w:ascii="宋体" w:eastAsia="宋体" w:hAnsi="宋体" w:cs="宋体"/>
                <w:kern w:val="0"/>
                <w:sz w:val="24"/>
                <w:szCs w:val="24"/>
              </w:rPr>
              <w:t> </w:t>
            </w:r>
          </w:p>
        </w:tc>
        <w:tc>
          <w:tcPr>
            <w:tcW w:w="317"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 </w:t>
            </w:r>
          </w:p>
        </w:tc>
      </w:tr>
      <w:tr w:rsidR="0004415F" w:rsidRPr="0004415F" w:rsidTr="0004415F">
        <w:trPr>
          <w:trHeight w:val="1570"/>
          <w:jc w:val="center"/>
        </w:trPr>
        <w:tc>
          <w:tcPr>
            <w:tcW w:w="574"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5</w:t>
            </w:r>
          </w:p>
        </w:tc>
        <w:tc>
          <w:tcPr>
            <w:tcW w:w="90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视频拼接处理器</w:t>
            </w:r>
          </w:p>
        </w:tc>
        <w:tc>
          <w:tcPr>
            <w:tcW w:w="625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多路高标清输入信号：DVI×1，HDMI×1，VGA×2，CVBS×2，扩展槽×1。 扩展槽标配为2路DVI，也可由用户指定配置，搭载HDMI 1.4，Dual Link DVI，IP，SDI及DVI、HDMI1.3、VGA、CVBS等各种信号。</w:t>
            </w:r>
          </w:p>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主要功能：3画面拼接输出、画面回显、热备份、图文叠加、亮度抠图、多机同步级联、特效切换、画面冻结、输入亮度调节、画面透明设置、一键黑屏、图像边缘羽化、模式保存于调用、计划任务。</w:t>
            </w:r>
          </w:p>
        </w:tc>
        <w:tc>
          <w:tcPr>
            <w:tcW w:w="45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80" w:lineRule="atLeast"/>
              <w:jc w:val="left"/>
              <w:rPr>
                <w:rFonts w:ascii="宋体" w:eastAsia="宋体" w:hAnsi="宋体" w:cs="宋体"/>
                <w:kern w:val="0"/>
                <w:sz w:val="24"/>
                <w:szCs w:val="24"/>
              </w:rPr>
            </w:pPr>
            <w:r w:rsidRPr="0004415F">
              <w:rPr>
                <w:rFonts w:ascii="宋体" w:eastAsia="宋体" w:hAnsi="宋体" w:cs="宋体"/>
                <w:kern w:val="0"/>
                <w:sz w:val="24"/>
                <w:szCs w:val="24"/>
              </w:rPr>
              <w:t> </w:t>
            </w:r>
          </w:p>
          <w:p w:rsidR="0004415F" w:rsidRPr="0004415F" w:rsidRDefault="0004415F" w:rsidP="0004415F">
            <w:pPr>
              <w:widowControl/>
              <w:spacing w:line="315" w:lineRule="atLeast"/>
              <w:jc w:val="left"/>
              <w:rPr>
                <w:rFonts w:ascii="宋体" w:eastAsia="宋体" w:hAnsi="宋体" w:cs="宋体"/>
                <w:kern w:val="0"/>
                <w:sz w:val="24"/>
                <w:szCs w:val="24"/>
              </w:rPr>
            </w:pPr>
            <w:r w:rsidRPr="0004415F">
              <w:rPr>
                <w:rFonts w:ascii="宋体" w:eastAsia="宋体" w:hAnsi="宋体" w:cs="宋体"/>
                <w:kern w:val="0"/>
                <w:sz w:val="24"/>
                <w:szCs w:val="24"/>
              </w:rPr>
              <w:t>台</w:t>
            </w:r>
          </w:p>
        </w:tc>
        <w:tc>
          <w:tcPr>
            <w:tcW w:w="51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40" w:lineRule="atLeast"/>
              <w:jc w:val="center"/>
              <w:rPr>
                <w:rFonts w:ascii="宋体" w:eastAsia="宋体" w:hAnsi="宋体" w:cs="宋体"/>
                <w:kern w:val="0"/>
                <w:sz w:val="24"/>
                <w:szCs w:val="24"/>
              </w:rPr>
            </w:pPr>
            <w:r w:rsidRPr="0004415F">
              <w:rPr>
                <w:rFonts w:ascii="宋体" w:eastAsia="宋体" w:hAnsi="宋体" w:cs="宋体"/>
                <w:kern w:val="0"/>
                <w:sz w:val="24"/>
                <w:szCs w:val="24"/>
              </w:rPr>
              <w:t>1</w:t>
            </w:r>
          </w:p>
        </w:tc>
        <w:tc>
          <w:tcPr>
            <w:tcW w:w="317"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 </w:t>
            </w:r>
          </w:p>
        </w:tc>
      </w:tr>
      <w:tr w:rsidR="0004415F" w:rsidRPr="0004415F" w:rsidTr="0004415F">
        <w:trPr>
          <w:trHeight w:val="1177"/>
          <w:jc w:val="center"/>
        </w:trPr>
        <w:tc>
          <w:tcPr>
            <w:tcW w:w="574"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10</w:t>
            </w:r>
          </w:p>
        </w:tc>
        <w:tc>
          <w:tcPr>
            <w:tcW w:w="90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外框架及外装修</w:t>
            </w:r>
          </w:p>
        </w:tc>
        <w:tc>
          <w:tcPr>
            <w:tcW w:w="625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1.采用钢结构支架制作、不锈钢包边处理，满足LED屏安装规范。钢架不小于国标2.0，角钢不小于L50，落地保证后期使用无安全隐患。（具体根据现场调整）</w:t>
            </w:r>
          </w:p>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2 .显示屏包边 （要求与装修风格一致，具体根据现场调整）。</w:t>
            </w:r>
          </w:p>
        </w:tc>
        <w:tc>
          <w:tcPr>
            <w:tcW w:w="45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80" w:lineRule="atLeast"/>
              <w:jc w:val="left"/>
              <w:rPr>
                <w:rFonts w:ascii="宋体" w:eastAsia="宋体" w:hAnsi="宋体" w:cs="宋体"/>
                <w:kern w:val="0"/>
                <w:sz w:val="24"/>
                <w:szCs w:val="24"/>
              </w:rPr>
            </w:pPr>
            <w:r w:rsidRPr="0004415F">
              <w:rPr>
                <w:rFonts w:ascii="宋体" w:eastAsia="宋体" w:hAnsi="宋体" w:cs="宋体"/>
                <w:kern w:val="0"/>
                <w:sz w:val="24"/>
                <w:szCs w:val="24"/>
              </w:rPr>
              <w:t>项</w:t>
            </w:r>
          </w:p>
        </w:tc>
        <w:tc>
          <w:tcPr>
            <w:tcW w:w="51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120" w:lineRule="atLeast"/>
              <w:jc w:val="center"/>
              <w:rPr>
                <w:rFonts w:ascii="宋体" w:eastAsia="宋体" w:hAnsi="宋体" w:cs="宋体"/>
                <w:kern w:val="0"/>
                <w:sz w:val="24"/>
                <w:szCs w:val="24"/>
              </w:rPr>
            </w:pPr>
            <w:r w:rsidRPr="0004415F">
              <w:rPr>
                <w:rFonts w:ascii="宋体" w:eastAsia="宋体" w:hAnsi="宋体" w:cs="宋体"/>
                <w:kern w:val="0"/>
                <w:sz w:val="24"/>
                <w:szCs w:val="24"/>
              </w:rPr>
              <w:t>1</w:t>
            </w:r>
          </w:p>
        </w:tc>
        <w:tc>
          <w:tcPr>
            <w:tcW w:w="317"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 </w:t>
            </w:r>
          </w:p>
        </w:tc>
      </w:tr>
      <w:tr w:rsidR="0004415F" w:rsidRPr="0004415F" w:rsidTr="0004415F">
        <w:trPr>
          <w:trHeight w:val="860"/>
          <w:jc w:val="center"/>
        </w:trPr>
        <w:tc>
          <w:tcPr>
            <w:tcW w:w="574"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11</w:t>
            </w:r>
          </w:p>
        </w:tc>
        <w:tc>
          <w:tcPr>
            <w:tcW w:w="90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辅材</w:t>
            </w:r>
          </w:p>
        </w:tc>
        <w:tc>
          <w:tcPr>
            <w:tcW w:w="625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安装LED显示屏所需的辅材</w:t>
            </w:r>
          </w:p>
        </w:tc>
        <w:tc>
          <w:tcPr>
            <w:tcW w:w="45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80" w:lineRule="atLeast"/>
              <w:jc w:val="left"/>
              <w:rPr>
                <w:rFonts w:ascii="宋体" w:eastAsia="宋体" w:hAnsi="宋体" w:cs="宋体"/>
                <w:kern w:val="0"/>
                <w:sz w:val="24"/>
                <w:szCs w:val="24"/>
              </w:rPr>
            </w:pPr>
            <w:r w:rsidRPr="0004415F">
              <w:rPr>
                <w:rFonts w:ascii="宋体" w:eastAsia="宋体" w:hAnsi="宋体" w:cs="宋体"/>
                <w:kern w:val="0"/>
                <w:sz w:val="24"/>
                <w:szCs w:val="24"/>
              </w:rPr>
              <w:t>项</w:t>
            </w:r>
          </w:p>
        </w:tc>
        <w:tc>
          <w:tcPr>
            <w:tcW w:w="51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120" w:lineRule="atLeast"/>
              <w:jc w:val="center"/>
              <w:rPr>
                <w:rFonts w:ascii="宋体" w:eastAsia="宋体" w:hAnsi="宋体" w:cs="宋体"/>
                <w:kern w:val="0"/>
                <w:sz w:val="24"/>
                <w:szCs w:val="24"/>
              </w:rPr>
            </w:pPr>
            <w:r w:rsidRPr="0004415F">
              <w:rPr>
                <w:rFonts w:ascii="宋体" w:eastAsia="宋体" w:hAnsi="宋体" w:cs="宋体"/>
                <w:kern w:val="0"/>
                <w:sz w:val="24"/>
                <w:szCs w:val="24"/>
              </w:rPr>
              <w:t>1</w:t>
            </w:r>
          </w:p>
        </w:tc>
        <w:tc>
          <w:tcPr>
            <w:tcW w:w="317"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 </w:t>
            </w:r>
          </w:p>
        </w:tc>
      </w:tr>
      <w:tr w:rsidR="0004415F" w:rsidRPr="0004415F" w:rsidTr="0004415F">
        <w:trPr>
          <w:trHeight w:val="2320"/>
          <w:jc w:val="center"/>
        </w:trPr>
        <w:tc>
          <w:tcPr>
            <w:tcW w:w="574"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lastRenderedPageBreak/>
              <w:t>12</w:t>
            </w:r>
          </w:p>
        </w:tc>
        <w:tc>
          <w:tcPr>
            <w:tcW w:w="90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安装、调试、培训费用</w:t>
            </w:r>
          </w:p>
        </w:tc>
        <w:tc>
          <w:tcPr>
            <w:tcW w:w="625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安装、调试、培训费用</w:t>
            </w:r>
          </w:p>
        </w:tc>
        <w:tc>
          <w:tcPr>
            <w:tcW w:w="45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80" w:lineRule="atLeast"/>
              <w:jc w:val="left"/>
              <w:rPr>
                <w:rFonts w:ascii="宋体" w:eastAsia="宋体" w:hAnsi="宋体" w:cs="宋体"/>
                <w:kern w:val="0"/>
                <w:sz w:val="24"/>
                <w:szCs w:val="24"/>
              </w:rPr>
            </w:pPr>
            <w:r w:rsidRPr="0004415F">
              <w:rPr>
                <w:rFonts w:ascii="宋体" w:eastAsia="宋体" w:hAnsi="宋体" w:cs="宋体"/>
                <w:kern w:val="0"/>
                <w:sz w:val="24"/>
                <w:szCs w:val="24"/>
              </w:rPr>
              <w:t>项</w:t>
            </w:r>
          </w:p>
        </w:tc>
        <w:tc>
          <w:tcPr>
            <w:tcW w:w="51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120" w:lineRule="atLeast"/>
              <w:jc w:val="center"/>
              <w:rPr>
                <w:rFonts w:ascii="宋体" w:eastAsia="宋体" w:hAnsi="宋体" w:cs="宋体"/>
                <w:kern w:val="0"/>
                <w:sz w:val="24"/>
                <w:szCs w:val="24"/>
              </w:rPr>
            </w:pPr>
            <w:r w:rsidRPr="0004415F">
              <w:rPr>
                <w:rFonts w:ascii="宋体" w:eastAsia="宋体" w:hAnsi="宋体" w:cs="宋体"/>
                <w:kern w:val="0"/>
                <w:sz w:val="24"/>
                <w:szCs w:val="24"/>
              </w:rPr>
              <w:t>1</w:t>
            </w:r>
          </w:p>
        </w:tc>
        <w:tc>
          <w:tcPr>
            <w:tcW w:w="317"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 </w:t>
            </w:r>
          </w:p>
        </w:tc>
      </w:tr>
      <w:tr w:rsidR="0004415F" w:rsidRPr="0004415F" w:rsidTr="0004415F">
        <w:trPr>
          <w:trHeight w:val="623"/>
          <w:jc w:val="center"/>
        </w:trPr>
        <w:tc>
          <w:tcPr>
            <w:tcW w:w="574"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13</w:t>
            </w:r>
          </w:p>
        </w:tc>
        <w:tc>
          <w:tcPr>
            <w:tcW w:w="90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安装时间及验收</w:t>
            </w:r>
          </w:p>
        </w:tc>
        <w:tc>
          <w:tcPr>
            <w:tcW w:w="625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00" w:lineRule="atLeast"/>
              <w:jc w:val="left"/>
              <w:rPr>
                <w:rFonts w:ascii="宋体" w:eastAsia="宋体" w:hAnsi="宋体" w:cs="宋体"/>
                <w:kern w:val="0"/>
                <w:sz w:val="24"/>
                <w:szCs w:val="24"/>
              </w:rPr>
            </w:pPr>
            <w:r w:rsidRPr="0004415F">
              <w:rPr>
                <w:rFonts w:ascii="宋体" w:eastAsia="宋体" w:hAnsi="宋体" w:cs="宋体"/>
                <w:kern w:val="0"/>
                <w:sz w:val="24"/>
                <w:szCs w:val="24"/>
              </w:rPr>
              <w:t>中标后15天内完工，甲方聘请第三方机构验收</w:t>
            </w:r>
          </w:p>
        </w:tc>
        <w:tc>
          <w:tcPr>
            <w:tcW w:w="45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480" w:lineRule="atLeast"/>
              <w:jc w:val="left"/>
              <w:rPr>
                <w:rFonts w:ascii="宋体" w:eastAsia="宋体" w:hAnsi="宋体" w:cs="宋体"/>
                <w:kern w:val="0"/>
                <w:sz w:val="24"/>
                <w:szCs w:val="24"/>
              </w:rPr>
            </w:pPr>
            <w:r w:rsidRPr="0004415F">
              <w:rPr>
                <w:rFonts w:ascii="宋体" w:eastAsia="宋体" w:hAnsi="宋体" w:cs="宋体"/>
                <w:kern w:val="0"/>
                <w:sz w:val="24"/>
                <w:szCs w:val="24"/>
              </w:rPr>
              <w:t> </w:t>
            </w:r>
          </w:p>
        </w:tc>
        <w:tc>
          <w:tcPr>
            <w:tcW w:w="51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120" w:lineRule="atLeast"/>
              <w:jc w:val="center"/>
              <w:rPr>
                <w:rFonts w:ascii="宋体" w:eastAsia="宋体" w:hAnsi="宋体" w:cs="宋体"/>
                <w:kern w:val="0"/>
                <w:sz w:val="24"/>
                <w:szCs w:val="24"/>
              </w:rPr>
            </w:pPr>
            <w:r w:rsidRPr="0004415F">
              <w:rPr>
                <w:rFonts w:ascii="宋体" w:eastAsia="宋体" w:hAnsi="宋体" w:cs="宋体"/>
                <w:kern w:val="0"/>
                <w:sz w:val="24"/>
                <w:szCs w:val="24"/>
              </w:rPr>
              <w:t> </w:t>
            </w:r>
          </w:p>
        </w:tc>
        <w:tc>
          <w:tcPr>
            <w:tcW w:w="317"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4415F" w:rsidRPr="0004415F" w:rsidRDefault="0004415F" w:rsidP="0004415F">
            <w:pPr>
              <w:widowControl/>
              <w:spacing w:line="315" w:lineRule="atLeast"/>
              <w:jc w:val="center"/>
              <w:rPr>
                <w:rFonts w:ascii="宋体" w:eastAsia="宋体" w:hAnsi="宋体" w:cs="宋体"/>
                <w:kern w:val="0"/>
                <w:sz w:val="24"/>
                <w:szCs w:val="24"/>
              </w:rPr>
            </w:pPr>
            <w:r w:rsidRPr="0004415F">
              <w:rPr>
                <w:rFonts w:ascii="宋体" w:eastAsia="宋体" w:hAnsi="宋体" w:cs="宋体"/>
                <w:kern w:val="0"/>
                <w:sz w:val="24"/>
                <w:szCs w:val="24"/>
              </w:rPr>
              <w:t> </w:t>
            </w:r>
          </w:p>
        </w:tc>
      </w:tr>
    </w:tbl>
    <w:p w:rsidR="0004415F" w:rsidRPr="0004415F" w:rsidRDefault="0004415F" w:rsidP="0004415F">
      <w:pPr>
        <w:widowControl/>
        <w:shd w:val="clear" w:color="auto" w:fill="FFFFFF"/>
        <w:spacing w:line="315" w:lineRule="atLeast"/>
        <w:jc w:val="left"/>
        <w:rPr>
          <w:rFonts w:ascii="宋体" w:eastAsia="宋体" w:hAnsi="宋体" w:cs="宋体"/>
          <w:color w:val="434343"/>
          <w:kern w:val="0"/>
          <w:szCs w:val="21"/>
        </w:rPr>
      </w:pPr>
      <w:r w:rsidRPr="0004415F">
        <w:rPr>
          <w:rFonts w:ascii="宋体" w:eastAsia="宋体" w:hAnsi="宋体" w:cs="宋体" w:hint="eastAsia"/>
          <w:b/>
          <w:bCs/>
          <w:color w:val="434343"/>
          <w:kern w:val="0"/>
          <w:szCs w:val="21"/>
        </w:rPr>
        <w:t> </w:t>
      </w:r>
    </w:p>
    <w:p w:rsidR="0004415F" w:rsidRPr="0004415F" w:rsidRDefault="0004415F" w:rsidP="0004415F">
      <w:pPr>
        <w:widowControl/>
        <w:shd w:val="clear" w:color="auto" w:fill="FFFFFF"/>
        <w:spacing w:line="315" w:lineRule="atLeast"/>
        <w:jc w:val="center"/>
        <w:rPr>
          <w:rFonts w:ascii="宋体" w:eastAsia="宋体" w:hAnsi="宋体" w:cs="宋体"/>
          <w:color w:val="434343"/>
          <w:kern w:val="0"/>
          <w:szCs w:val="21"/>
        </w:rPr>
      </w:pPr>
      <w:r w:rsidRPr="0004415F">
        <w:rPr>
          <w:rFonts w:ascii="宋体" w:eastAsia="宋体" w:hAnsi="宋体" w:cs="宋体" w:hint="eastAsia"/>
          <w:b/>
          <w:bCs/>
          <w:color w:val="434343"/>
          <w:kern w:val="0"/>
          <w:sz w:val="36"/>
          <w:szCs w:val="36"/>
        </w:rPr>
        <w:t>评标明细表</w:t>
      </w:r>
    </w:p>
    <w:p w:rsidR="0004415F" w:rsidRPr="0004415F" w:rsidRDefault="0004415F" w:rsidP="0004415F">
      <w:pPr>
        <w:widowControl/>
        <w:shd w:val="clear" w:color="auto" w:fill="FFFFFF"/>
        <w:spacing w:line="315" w:lineRule="atLeast"/>
        <w:jc w:val="left"/>
        <w:rPr>
          <w:rFonts w:ascii="宋体" w:eastAsia="宋体" w:hAnsi="宋体" w:cs="宋体"/>
          <w:color w:val="434343"/>
          <w:kern w:val="0"/>
          <w:szCs w:val="21"/>
        </w:rPr>
      </w:pPr>
      <w:r w:rsidRPr="0004415F">
        <w:rPr>
          <w:rFonts w:ascii="宋体" w:eastAsia="宋体" w:hAnsi="宋体" w:cs="宋体" w:hint="eastAsia"/>
          <w:color w:val="434343"/>
          <w:kern w:val="0"/>
          <w:szCs w:val="21"/>
        </w:rPr>
        <w:t> </w:t>
      </w:r>
    </w:p>
    <w:tbl>
      <w:tblPr>
        <w:tblW w:w="9435" w:type="dxa"/>
        <w:jc w:val="center"/>
        <w:tblInd w:w="-10" w:type="dxa"/>
        <w:tblCellMar>
          <w:left w:w="0" w:type="dxa"/>
          <w:right w:w="0" w:type="dxa"/>
        </w:tblCellMar>
        <w:tblLook w:val="04A0"/>
      </w:tblPr>
      <w:tblGrid>
        <w:gridCol w:w="744"/>
        <w:gridCol w:w="1254"/>
        <w:gridCol w:w="7"/>
        <w:gridCol w:w="706"/>
        <w:gridCol w:w="7"/>
        <w:gridCol w:w="4667"/>
        <w:gridCol w:w="2050"/>
      </w:tblGrid>
      <w:tr w:rsidR="0004415F" w:rsidRPr="0004415F" w:rsidTr="0004415F">
        <w:trPr>
          <w:trHeight w:val="402"/>
          <w:jc w:val="center"/>
        </w:trPr>
        <w:tc>
          <w:tcPr>
            <w:tcW w:w="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center"/>
              <w:rPr>
                <w:rFonts w:ascii="宋体" w:eastAsia="宋体" w:hAnsi="宋体" w:cs="宋体"/>
                <w:kern w:val="0"/>
                <w:sz w:val="24"/>
                <w:szCs w:val="24"/>
              </w:rPr>
            </w:pPr>
            <w:r w:rsidRPr="0004415F">
              <w:rPr>
                <w:rFonts w:ascii="宋体" w:eastAsia="宋体" w:hAnsi="宋体" w:cs="宋体"/>
                <w:color w:val="000000"/>
                <w:kern w:val="0"/>
                <w:sz w:val="24"/>
                <w:szCs w:val="24"/>
              </w:rPr>
              <w:t>序号</w:t>
            </w:r>
          </w:p>
        </w:tc>
        <w:tc>
          <w:tcPr>
            <w:tcW w:w="126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center"/>
              <w:rPr>
                <w:rFonts w:ascii="宋体" w:eastAsia="宋体" w:hAnsi="宋体" w:cs="宋体"/>
                <w:kern w:val="0"/>
                <w:sz w:val="24"/>
                <w:szCs w:val="24"/>
              </w:rPr>
            </w:pPr>
            <w:r w:rsidRPr="0004415F">
              <w:rPr>
                <w:rFonts w:ascii="宋体" w:eastAsia="宋体" w:hAnsi="宋体" w:cs="宋体"/>
                <w:color w:val="000000"/>
                <w:kern w:val="0"/>
                <w:sz w:val="24"/>
                <w:szCs w:val="24"/>
              </w:rPr>
              <w:t>评分因素及权重</w:t>
            </w:r>
          </w:p>
        </w:tc>
        <w:tc>
          <w:tcPr>
            <w:tcW w:w="71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center"/>
              <w:rPr>
                <w:rFonts w:ascii="宋体" w:eastAsia="宋体" w:hAnsi="宋体" w:cs="宋体"/>
                <w:kern w:val="0"/>
                <w:sz w:val="24"/>
                <w:szCs w:val="24"/>
              </w:rPr>
            </w:pPr>
            <w:r w:rsidRPr="0004415F">
              <w:rPr>
                <w:rFonts w:ascii="宋体" w:eastAsia="宋体" w:hAnsi="宋体" w:cs="宋体"/>
                <w:color w:val="000000"/>
                <w:kern w:val="0"/>
                <w:sz w:val="24"/>
                <w:szCs w:val="24"/>
              </w:rPr>
              <w:t>分值</w:t>
            </w:r>
          </w:p>
        </w:tc>
        <w:tc>
          <w:tcPr>
            <w:tcW w:w="46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center"/>
              <w:rPr>
                <w:rFonts w:ascii="宋体" w:eastAsia="宋体" w:hAnsi="宋体" w:cs="宋体"/>
                <w:kern w:val="0"/>
                <w:sz w:val="24"/>
                <w:szCs w:val="24"/>
              </w:rPr>
            </w:pPr>
            <w:r w:rsidRPr="0004415F">
              <w:rPr>
                <w:rFonts w:ascii="宋体" w:eastAsia="宋体" w:hAnsi="宋体" w:cs="宋体"/>
                <w:color w:val="000000"/>
                <w:kern w:val="0"/>
                <w:sz w:val="24"/>
                <w:szCs w:val="24"/>
              </w:rPr>
              <w:t>评分标准</w:t>
            </w:r>
          </w:p>
        </w:tc>
        <w:tc>
          <w:tcPr>
            <w:tcW w:w="2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315" w:lineRule="atLeast"/>
              <w:jc w:val="center"/>
              <w:rPr>
                <w:rFonts w:ascii="宋体" w:eastAsia="宋体" w:hAnsi="宋体" w:cs="宋体"/>
                <w:kern w:val="0"/>
                <w:sz w:val="24"/>
                <w:szCs w:val="24"/>
              </w:rPr>
            </w:pPr>
            <w:r w:rsidRPr="0004415F">
              <w:rPr>
                <w:rFonts w:ascii="宋体" w:eastAsia="宋体" w:hAnsi="宋体" w:cs="宋体"/>
                <w:color w:val="000000"/>
                <w:kern w:val="0"/>
                <w:sz w:val="24"/>
                <w:szCs w:val="24"/>
              </w:rPr>
              <w:t>说明</w:t>
            </w:r>
          </w:p>
        </w:tc>
      </w:tr>
      <w:tr w:rsidR="0004415F" w:rsidRPr="0004415F" w:rsidTr="0004415F">
        <w:trPr>
          <w:trHeight w:val="2395"/>
          <w:jc w:val="center"/>
        </w:trPr>
        <w:tc>
          <w:tcPr>
            <w:tcW w:w="7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center"/>
              <w:rPr>
                <w:rFonts w:ascii="宋体" w:eastAsia="宋体" w:hAnsi="宋体" w:cs="宋体"/>
                <w:kern w:val="0"/>
                <w:sz w:val="24"/>
                <w:szCs w:val="24"/>
              </w:rPr>
            </w:pPr>
            <w:r w:rsidRPr="0004415F">
              <w:rPr>
                <w:rFonts w:ascii="宋体" w:eastAsia="宋体" w:hAnsi="宋体" w:cs="宋体"/>
                <w:color w:val="000000"/>
                <w:kern w:val="0"/>
                <w:sz w:val="24"/>
                <w:szCs w:val="24"/>
              </w:rPr>
              <w:t>1</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left"/>
              <w:rPr>
                <w:rFonts w:ascii="宋体" w:eastAsia="宋体" w:hAnsi="宋体" w:cs="宋体"/>
                <w:kern w:val="0"/>
                <w:sz w:val="24"/>
                <w:szCs w:val="24"/>
              </w:rPr>
            </w:pPr>
            <w:r w:rsidRPr="0004415F">
              <w:rPr>
                <w:rFonts w:ascii="宋体" w:eastAsia="宋体" w:hAnsi="宋体" w:cs="宋体"/>
                <w:color w:val="000000"/>
                <w:kern w:val="0"/>
                <w:sz w:val="24"/>
                <w:szCs w:val="24"/>
              </w:rPr>
              <w:t>投标报价40%</w:t>
            </w:r>
          </w:p>
        </w:tc>
        <w:tc>
          <w:tcPr>
            <w:tcW w:w="71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center"/>
              <w:rPr>
                <w:rFonts w:ascii="宋体" w:eastAsia="宋体" w:hAnsi="宋体" w:cs="宋体"/>
                <w:kern w:val="0"/>
                <w:sz w:val="24"/>
                <w:szCs w:val="24"/>
              </w:rPr>
            </w:pPr>
            <w:r w:rsidRPr="0004415F">
              <w:rPr>
                <w:rFonts w:ascii="宋体" w:eastAsia="宋体" w:hAnsi="宋体" w:cs="宋体"/>
                <w:color w:val="000000"/>
                <w:kern w:val="0"/>
                <w:sz w:val="24"/>
                <w:szCs w:val="24"/>
              </w:rPr>
              <w:t>40</w:t>
            </w:r>
          </w:p>
        </w:tc>
        <w:tc>
          <w:tcPr>
            <w:tcW w:w="467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hd w:val="clear" w:color="auto" w:fill="FFFFFF"/>
              <w:spacing w:before="100" w:beforeAutospacing="1" w:after="100" w:afterAutospacing="1" w:line="400" w:lineRule="atLeast"/>
              <w:rPr>
                <w:rFonts w:ascii="宋体" w:eastAsia="宋体" w:hAnsi="宋体" w:cs="宋体"/>
                <w:kern w:val="0"/>
                <w:sz w:val="24"/>
                <w:szCs w:val="24"/>
              </w:rPr>
            </w:pPr>
            <w:r w:rsidRPr="0004415F">
              <w:rPr>
                <w:rFonts w:ascii="宋体" w:eastAsia="宋体" w:hAnsi="宋体" w:cs="宋体"/>
                <w:kern w:val="0"/>
                <w:sz w:val="24"/>
                <w:szCs w:val="24"/>
              </w:rPr>
              <w:t>满足招标文件要求且投标价格最低的投标报价为基准价，其价格分为满分，投标报价得分=（评标基准价/投标报价）×40%×100。</w:t>
            </w:r>
          </w:p>
          <w:p w:rsidR="0004415F" w:rsidRPr="0004415F" w:rsidRDefault="0004415F" w:rsidP="0004415F">
            <w:pPr>
              <w:widowControl/>
              <w:shd w:val="clear" w:color="auto" w:fill="FFFFFF"/>
              <w:spacing w:before="100" w:beforeAutospacing="1" w:after="100" w:afterAutospacing="1" w:line="400" w:lineRule="atLeast"/>
              <w:rPr>
                <w:rFonts w:ascii="宋体" w:eastAsia="宋体" w:hAnsi="宋体" w:cs="宋体"/>
                <w:kern w:val="0"/>
                <w:sz w:val="24"/>
                <w:szCs w:val="24"/>
              </w:rPr>
            </w:pPr>
            <w:r w:rsidRPr="0004415F">
              <w:rPr>
                <w:rFonts w:ascii="宋体" w:eastAsia="宋体" w:hAnsi="宋体" w:cs="宋体"/>
                <w:kern w:val="0"/>
                <w:sz w:val="24"/>
                <w:szCs w:val="24"/>
              </w:rPr>
              <w:t> </w:t>
            </w:r>
          </w:p>
        </w:tc>
        <w:tc>
          <w:tcPr>
            <w:tcW w:w="20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315" w:lineRule="atLeast"/>
              <w:jc w:val="left"/>
              <w:rPr>
                <w:rFonts w:ascii="宋体" w:eastAsia="宋体" w:hAnsi="宋体" w:cs="宋体"/>
                <w:kern w:val="0"/>
                <w:sz w:val="24"/>
                <w:szCs w:val="24"/>
              </w:rPr>
            </w:pPr>
            <w:r w:rsidRPr="0004415F">
              <w:rPr>
                <w:rFonts w:ascii="宋体" w:eastAsia="宋体" w:hAnsi="宋体" w:cs="宋体"/>
                <w:kern w:val="0"/>
                <w:sz w:val="24"/>
                <w:szCs w:val="24"/>
              </w:rPr>
              <w:t>最低有效投标报价是指经资格性、符合性审查合格的最低投标报价。</w:t>
            </w:r>
          </w:p>
          <w:p w:rsidR="0004415F" w:rsidRPr="0004415F" w:rsidRDefault="0004415F" w:rsidP="0004415F">
            <w:pPr>
              <w:widowControl/>
              <w:spacing w:before="100" w:beforeAutospacing="1" w:after="100" w:afterAutospacing="1" w:line="315" w:lineRule="atLeast"/>
              <w:jc w:val="left"/>
              <w:rPr>
                <w:rFonts w:ascii="宋体" w:eastAsia="宋体" w:hAnsi="宋体" w:cs="宋体"/>
                <w:kern w:val="0"/>
                <w:sz w:val="24"/>
                <w:szCs w:val="24"/>
              </w:rPr>
            </w:pPr>
            <w:r w:rsidRPr="0004415F">
              <w:rPr>
                <w:rFonts w:ascii="宋体" w:eastAsia="宋体" w:hAnsi="宋体" w:cs="宋体"/>
                <w:kern w:val="0"/>
                <w:sz w:val="24"/>
                <w:szCs w:val="24"/>
              </w:rPr>
              <w:t> </w:t>
            </w:r>
          </w:p>
        </w:tc>
      </w:tr>
      <w:tr w:rsidR="0004415F" w:rsidRPr="0004415F" w:rsidTr="0004415F">
        <w:trPr>
          <w:trHeight w:val="402"/>
          <w:jc w:val="center"/>
        </w:trPr>
        <w:tc>
          <w:tcPr>
            <w:tcW w:w="7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center"/>
              <w:rPr>
                <w:rFonts w:ascii="宋体" w:eastAsia="宋体" w:hAnsi="宋体" w:cs="宋体"/>
                <w:kern w:val="0"/>
                <w:sz w:val="24"/>
                <w:szCs w:val="24"/>
              </w:rPr>
            </w:pPr>
            <w:r w:rsidRPr="0004415F">
              <w:rPr>
                <w:rFonts w:ascii="宋体" w:eastAsia="宋体" w:hAnsi="宋体" w:cs="宋体"/>
                <w:color w:val="000000"/>
                <w:kern w:val="0"/>
                <w:sz w:val="24"/>
                <w:szCs w:val="24"/>
              </w:rPr>
              <w:t>2</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left"/>
              <w:rPr>
                <w:rFonts w:ascii="宋体" w:eastAsia="宋体" w:hAnsi="宋体" w:cs="宋体"/>
                <w:kern w:val="0"/>
                <w:sz w:val="24"/>
                <w:szCs w:val="24"/>
              </w:rPr>
            </w:pPr>
            <w:r w:rsidRPr="0004415F">
              <w:rPr>
                <w:rFonts w:ascii="宋体" w:eastAsia="宋体" w:hAnsi="宋体" w:cs="宋体"/>
                <w:color w:val="000000"/>
                <w:kern w:val="0"/>
                <w:sz w:val="24"/>
                <w:szCs w:val="24"/>
              </w:rPr>
              <w:t>技术指标和配置35%</w:t>
            </w:r>
          </w:p>
        </w:tc>
        <w:tc>
          <w:tcPr>
            <w:tcW w:w="71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center"/>
              <w:rPr>
                <w:rFonts w:ascii="宋体" w:eastAsia="宋体" w:hAnsi="宋体" w:cs="宋体"/>
                <w:kern w:val="0"/>
                <w:sz w:val="24"/>
                <w:szCs w:val="24"/>
              </w:rPr>
            </w:pPr>
            <w:r w:rsidRPr="0004415F">
              <w:rPr>
                <w:rFonts w:ascii="宋体" w:eastAsia="宋体" w:hAnsi="宋体" w:cs="宋体"/>
                <w:color w:val="000000"/>
                <w:kern w:val="0"/>
                <w:sz w:val="24"/>
                <w:szCs w:val="24"/>
              </w:rPr>
              <w:t>35</w:t>
            </w:r>
          </w:p>
        </w:tc>
        <w:tc>
          <w:tcPr>
            <w:tcW w:w="467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left"/>
              <w:rPr>
                <w:rFonts w:ascii="宋体" w:eastAsia="宋体" w:hAnsi="宋体" w:cs="宋体"/>
                <w:kern w:val="0"/>
                <w:sz w:val="24"/>
                <w:szCs w:val="24"/>
              </w:rPr>
            </w:pPr>
            <w:r w:rsidRPr="0004415F">
              <w:rPr>
                <w:rFonts w:ascii="宋体" w:eastAsia="宋体" w:hAnsi="宋体" w:cs="宋体"/>
                <w:kern w:val="0"/>
                <w:sz w:val="24"/>
                <w:szCs w:val="24"/>
              </w:rPr>
              <w:t>1、完全符合招标文件要求没有负偏离得35分</w:t>
            </w:r>
          </w:p>
          <w:p w:rsidR="0004415F" w:rsidRPr="0004415F" w:rsidRDefault="0004415F" w:rsidP="0004415F">
            <w:pPr>
              <w:widowControl/>
              <w:spacing w:before="100" w:beforeAutospacing="1" w:after="100" w:afterAutospacing="1" w:line="400" w:lineRule="atLeast"/>
              <w:jc w:val="left"/>
              <w:rPr>
                <w:rFonts w:ascii="宋体" w:eastAsia="宋体" w:hAnsi="宋体" w:cs="宋体"/>
                <w:kern w:val="0"/>
                <w:sz w:val="24"/>
                <w:szCs w:val="24"/>
              </w:rPr>
            </w:pPr>
            <w:r w:rsidRPr="0004415F">
              <w:rPr>
                <w:rFonts w:ascii="宋体" w:eastAsia="宋体" w:hAnsi="宋体" w:cs="宋体"/>
                <w:kern w:val="0"/>
                <w:sz w:val="24"/>
                <w:szCs w:val="24"/>
              </w:rPr>
              <w:t>2、带*号的技术指标和配置为本次招标重要要求，有负偏离的，一项扣5分，直到扣完为止。</w:t>
            </w:r>
          </w:p>
          <w:p w:rsidR="0004415F" w:rsidRPr="0004415F" w:rsidRDefault="0004415F" w:rsidP="0004415F">
            <w:pPr>
              <w:widowControl/>
              <w:spacing w:before="100" w:beforeAutospacing="1" w:after="100" w:afterAutospacing="1" w:line="400" w:lineRule="atLeast"/>
              <w:jc w:val="left"/>
              <w:rPr>
                <w:rFonts w:ascii="宋体" w:eastAsia="宋体" w:hAnsi="宋体" w:cs="宋体"/>
                <w:kern w:val="0"/>
                <w:sz w:val="24"/>
                <w:szCs w:val="24"/>
              </w:rPr>
            </w:pPr>
            <w:r w:rsidRPr="0004415F">
              <w:rPr>
                <w:rFonts w:ascii="宋体" w:eastAsia="宋体" w:hAnsi="宋体" w:cs="宋体"/>
                <w:kern w:val="0"/>
                <w:sz w:val="24"/>
                <w:szCs w:val="24"/>
              </w:rPr>
              <w:t> </w:t>
            </w:r>
          </w:p>
        </w:tc>
        <w:tc>
          <w:tcPr>
            <w:tcW w:w="20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315" w:lineRule="atLeast"/>
              <w:jc w:val="left"/>
              <w:rPr>
                <w:rFonts w:ascii="宋体" w:eastAsia="宋体" w:hAnsi="宋体" w:cs="宋体"/>
                <w:kern w:val="0"/>
                <w:sz w:val="24"/>
                <w:szCs w:val="24"/>
              </w:rPr>
            </w:pPr>
            <w:r w:rsidRPr="0004415F">
              <w:rPr>
                <w:rFonts w:ascii="宋体" w:eastAsia="宋体" w:hAnsi="宋体" w:cs="宋体"/>
                <w:color w:val="000000"/>
                <w:kern w:val="0"/>
                <w:sz w:val="24"/>
                <w:szCs w:val="24"/>
              </w:rPr>
              <w:t>评标委员会按照投标文件提供的检测报告、产品使用说明书、用户手册、产品彩页资料等材料评判。</w:t>
            </w:r>
          </w:p>
        </w:tc>
      </w:tr>
      <w:tr w:rsidR="0004415F" w:rsidRPr="0004415F" w:rsidTr="0004415F">
        <w:trPr>
          <w:trHeight w:val="2492"/>
          <w:jc w:val="center"/>
        </w:trPr>
        <w:tc>
          <w:tcPr>
            <w:tcW w:w="7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center"/>
              <w:rPr>
                <w:rFonts w:ascii="宋体" w:eastAsia="宋体" w:hAnsi="宋体" w:cs="宋体"/>
                <w:kern w:val="0"/>
                <w:sz w:val="24"/>
                <w:szCs w:val="24"/>
              </w:rPr>
            </w:pPr>
            <w:r w:rsidRPr="0004415F">
              <w:rPr>
                <w:rFonts w:ascii="宋体" w:eastAsia="宋体" w:hAnsi="宋体" w:cs="宋体"/>
                <w:color w:val="000000"/>
                <w:kern w:val="0"/>
                <w:sz w:val="24"/>
                <w:szCs w:val="24"/>
              </w:rPr>
              <w:t>3</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left"/>
              <w:rPr>
                <w:rFonts w:ascii="宋体" w:eastAsia="宋体" w:hAnsi="宋体" w:cs="宋体"/>
                <w:kern w:val="0"/>
                <w:sz w:val="24"/>
                <w:szCs w:val="24"/>
              </w:rPr>
            </w:pPr>
            <w:r w:rsidRPr="0004415F">
              <w:rPr>
                <w:rFonts w:ascii="宋体" w:eastAsia="宋体" w:hAnsi="宋体" w:cs="宋体"/>
                <w:color w:val="000000"/>
                <w:kern w:val="0"/>
                <w:sz w:val="24"/>
                <w:szCs w:val="24"/>
              </w:rPr>
              <w:t>专业资质10%</w:t>
            </w:r>
          </w:p>
        </w:tc>
        <w:tc>
          <w:tcPr>
            <w:tcW w:w="71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center"/>
              <w:rPr>
                <w:rFonts w:ascii="宋体" w:eastAsia="宋体" w:hAnsi="宋体" w:cs="宋体"/>
                <w:kern w:val="0"/>
                <w:sz w:val="24"/>
                <w:szCs w:val="24"/>
              </w:rPr>
            </w:pPr>
            <w:r w:rsidRPr="0004415F">
              <w:rPr>
                <w:rFonts w:ascii="宋体" w:eastAsia="宋体" w:hAnsi="宋体" w:cs="宋体"/>
                <w:color w:val="000000"/>
                <w:kern w:val="0"/>
                <w:sz w:val="24"/>
                <w:szCs w:val="24"/>
              </w:rPr>
              <w:t>10</w:t>
            </w:r>
          </w:p>
        </w:tc>
        <w:tc>
          <w:tcPr>
            <w:tcW w:w="467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left"/>
              <w:rPr>
                <w:rFonts w:ascii="宋体" w:eastAsia="宋体" w:hAnsi="宋体" w:cs="宋体"/>
                <w:kern w:val="0"/>
                <w:sz w:val="24"/>
                <w:szCs w:val="24"/>
              </w:rPr>
            </w:pPr>
            <w:r w:rsidRPr="0004415F">
              <w:rPr>
                <w:rFonts w:ascii="宋体" w:eastAsia="宋体" w:hAnsi="宋体" w:cs="宋体"/>
                <w:kern w:val="0"/>
                <w:sz w:val="24"/>
                <w:szCs w:val="24"/>
              </w:rPr>
              <w:t>1、LED显示屏生产厂家获得《CE证书》,《ISO9001-2008证书》，《CCC证书》《职业健康安全管理体系认证证书》的，每获得一个得1分，最多得4分；</w:t>
            </w:r>
          </w:p>
          <w:p w:rsidR="0004415F" w:rsidRPr="0004415F" w:rsidRDefault="0004415F" w:rsidP="0004415F">
            <w:pPr>
              <w:widowControl/>
              <w:spacing w:before="100" w:beforeAutospacing="1" w:after="100" w:afterAutospacing="1" w:line="400" w:lineRule="atLeast"/>
              <w:jc w:val="left"/>
              <w:rPr>
                <w:rFonts w:ascii="宋体" w:eastAsia="宋体" w:hAnsi="宋体" w:cs="宋体"/>
                <w:kern w:val="0"/>
                <w:sz w:val="24"/>
                <w:szCs w:val="24"/>
              </w:rPr>
            </w:pPr>
            <w:r w:rsidRPr="0004415F">
              <w:rPr>
                <w:rFonts w:ascii="宋体" w:eastAsia="宋体" w:hAnsi="宋体" w:cs="宋体"/>
                <w:kern w:val="0"/>
                <w:sz w:val="24"/>
                <w:szCs w:val="24"/>
              </w:rPr>
              <w:t>2、显示屏生产厂家具有全国质量服务信誉</w:t>
            </w:r>
            <w:r w:rsidRPr="0004415F">
              <w:rPr>
                <w:rFonts w:ascii="宋体" w:eastAsia="宋体" w:hAnsi="宋体" w:cs="宋体"/>
                <w:kern w:val="0"/>
                <w:sz w:val="24"/>
                <w:szCs w:val="24"/>
              </w:rPr>
              <w:lastRenderedPageBreak/>
              <w:t>双保障产品认证的得2分，未提供不得分；</w:t>
            </w:r>
          </w:p>
          <w:p w:rsidR="0004415F" w:rsidRPr="0004415F" w:rsidRDefault="0004415F" w:rsidP="0004415F">
            <w:pPr>
              <w:widowControl/>
              <w:spacing w:before="100" w:beforeAutospacing="1" w:after="100" w:afterAutospacing="1" w:line="400" w:lineRule="atLeast"/>
              <w:jc w:val="left"/>
              <w:rPr>
                <w:rFonts w:ascii="宋体" w:eastAsia="宋体" w:hAnsi="宋体" w:cs="宋体"/>
                <w:kern w:val="0"/>
                <w:sz w:val="24"/>
                <w:szCs w:val="24"/>
              </w:rPr>
            </w:pPr>
            <w:r w:rsidRPr="0004415F">
              <w:rPr>
                <w:rFonts w:ascii="宋体" w:eastAsia="宋体" w:hAnsi="宋体" w:cs="宋体"/>
                <w:kern w:val="0"/>
                <w:sz w:val="24"/>
                <w:szCs w:val="24"/>
              </w:rPr>
              <w:t>3、LED显示屏生产厂家具有</w:t>
            </w:r>
            <w:bookmarkStart w:id="1" w:name="_Toc459716936"/>
            <w:r w:rsidRPr="0004415F">
              <w:rPr>
                <w:rFonts w:ascii="宋体" w:eastAsia="宋体" w:hAnsi="宋体" w:cs="宋体"/>
                <w:color w:val="000000"/>
                <w:kern w:val="0"/>
                <w:sz w:val="24"/>
                <w:szCs w:val="24"/>
              </w:rPr>
              <w:t>持有安全生产许可证</w:t>
            </w:r>
            <w:bookmarkEnd w:id="1"/>
            <w:r w:rsidRPr="0004415F">
              <w:rPr>
                <w:rFonts w:ascii="宋体" w:eastAsia="宋体" w:hAnsi="宋体" w:cs="宋体"/>
                <w:kern w:val="0"/>
                <w:sz w:val="24"/>
                <w:szCs w:val="24"/>
              </w:rPr>
              <w:t>的得2分；</w:t>
            </w:r>
          </w:p>
          <w:p w:rsidR="0004415F" w:rsidRPr="0004415F" w:rsidRDefault="0004415F" w:rsidP="0004415F">
            <w:pPr>
              <w:widowControl/>
              <w:spacing w:before="100" w:beforeAutospacing="1" w:after="100" w:afterAutospacing="1" w:line="400" w:lineRule="atLeast"/>
              <w:jc w:val="left"/>
              <w:rPr>
                <w:rFonts w:ascii="宋体" w:eastAsia="宋体" w:hAnsi="宋体" w:cs="宋体"/>
                <w:kern w:val="0"/>
                <w:sz w:val="24"/>
                <w:szCs w:val="24"/>
              </w:rPr>
            </w:pPr>
            <w:r w:rsidRPr="0004415F">
              <w:rPr>
                <w:rFonts w:ascii="宋体" w:eastAsia="宋体" w:hAnsi="宋体" w:cs="宋体"/>
                <w:color w:val="000000"/>
                <w:kern w:val="0"/>
                <w:sz w:val="24"/>
                <w:szCs w:val="24"/>
              </w:rPr>
              <w:t>4、LED显示屏生产厂家具有环境管理体系认证证书的得2分；</w:t>
            </w:r>
          </w:p>
        </w:tc>
        <w:tc>
          <w:tcPr>
            <w:tcW w:w="20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315" w:lineRule="atLeast"/>
              <w:jc w:val="left"/>
              <w:rPr>
                <w:rFonts w:ascii="宋体" w:eastAsia="宋体" w:hAnsi="宋体" w:cs="宋体"/>
                <w:kern w:val="0"/>
                <w:sz w:val="24"/>
                <w:szCs w:val="24"/>
              </w:rPr>
            </w:pPr>
            <w:r w:rsidRPr="0004415F">
              <w:rPr>
                <w:rFonts w:ascii="宋体" w:eastAsia="宋体" w:hAnsi="宋体" w:cs="宋体"/>
                <w:color w:val="000000"/>
                <w:kern w:val="0"/>
                <w:sz w:val="24"/>
                <w:szCs w:val="24"/>
              </w:rPr>
              <w:lastRenderedPageBreak/>
              <w:t>投标文件提供有效的证书、证件复印件（证书、证件为生产厂商的，加盖厂家鲜章；证书、证件为投标人的，加盖投标人鲜章）。</w:t>
            </w:r>
          </w:p>
        </w:tc>
      </w:tr>
      <w:tr w:rsidR="0004415F" w:rsidRPr="0004415F" w:rsidTr="0004415F">
        <w:trPr>
          <w:trHeight w:val="2571"/>
          <w:jc w:val="center"/>
        </w:trPr>
        <w:tc>
          <w:tcPr>
            <w:tcW w:w="7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center"/>
              <w:rPr>
                <w:rFonts w:ascii="宋体" w:eastAsia="宋体" w:hAnsi="宋体" w:cs="宋体"/>
                <w:kern w:val="0"/>
                <w:sz w:val="24"/>
                <w:szCs w:val="24"/>
              </w:rPr>
            </w:pPr>
            <w:r w:rsidRPr="0004415F">
              <w:rPr>
                <w:rFonts w:ascii="宋体" w:eastAsia="宋体" w:hAnsi="宋体" w:cs="宋体"/>
                <w:color w:val="000000"/>
                <w:kern w:val="0"/>
                <w:sz w:val="24"/>
                <w:szCs w:val="24"/>
              </w:rPr>
              <w:lastRenderedPageBreak/>
              <w:t>4</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left"/>
              <w:rPr>
                <w:rFonts w:ascii="宋体" w:eastAsia="宋体" w:hAnsi="宋体" w:cs="宋体"/>
                <w:kern w:val="0"/>
                <w:sz w:val="24"/>
                <w:szCs w:val="24"/>
              </w:rPr>
            </w:pPr>
            <w:r w:rsidRPr="0004415F">
              <w:rPr>
                <w:rFonts w:ascii="宋体" w:eastAsia="宋体" w:hAnsi="宋体" w:cs="宋体"/>
                <w:color w:val="000000"/>
                <w:kern w:val="0"/>
                <w:sz w:val="24"/>
                <w:szCs w:val="24"/>
              </w:rPr>
              <w:t>售后服务14%</w:t>
            </w:r>
          </w:p>
        </w:tc>
        <w:tc>
          <w:tcPr>
            <w:tcW w:w="71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400" w:lineRule="atLeast"/>
              <w:jc w:val="center"/>
              <w:rPr>
                <w:rFonts w:ascii="宋体" w:eastAsia="宋体" w:hAnsi="宋体" w:cs="宋体"/>
                <w:kern w:val="0"/>
                <w:sz w:val="24"/>
                <w:szCs w:val="24"/>
              </w:rPr>
            </w:pPr>
            <w:r w:rsidRPr="0004415F">
              <w:rPr>
                <w:rFonts w:ascii="宋体" w:eastAsia="宋体" w:hAnsi="宋体" w:cs="宋体"/>
                <w:color w:val="000000"/>
                <w:kern w:val="0"/>
                <w:sz w:val="24"/>
                <w:szCs w:val="24"/>
              </w:rPr>
              <w:t>14</w:t>
            </w:r>
          </w:p>
        </w:tc>
        <w:tc>
          <w:tcPr>
            <w:tcW w:w="467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hd w:val="clear" w:color="auto" w:fill="FFFFFF"/>
              <w:spacing w:before="100" w:beforeAutospacing="1" w:after="100" w:afterAutospacing="1" w:line="400" w:lineRule="atLeast"/>
              <w:jc w:val="left"/>
              <w:rPr>
                <w:rFonts w:ascii="宋体" w:eastAsia="宋体" w:hAnsi="宋体" w:cs="宋体"/>
                <w:kern w:val="0"/>
                <w:sz w:val="24"/>
                <w:szCs w:val="24"/>
              </w:rPr>
            </w:pPr>
            <w:r w:rsidRPr="0004415F">
              <w:rPr>
                <w:rFonts w:ascii="宋体" w:eastAsia="宋体" w:hAnsi="宋体" w:cs="宋体"/>
                <w:color w:val="000000"/>
                <w:kern w:val="0"/>
                <w:sz w:val="24"/>
                <w:szCs w:val="24"/>
              </w:rPr>
              <w:t>1、投标人售后服务实力和方案综合评比，第一名：得2分，第二名：得1分，其余不得分。</w:t>
            </w:r>
          </w:p>
          <w:p w:rsidR="0004415F" w:rsidRPr="0004415F" w:rsidRDefault="0004415F" w:rsidP="0004415F">
            <w:pPr>
              <w:widowControl/>
              <w:shd w:val="clear" w:color="auto" w:fill="FFFFFF"/>
              <w:spacing w:before="100" w:beforeAutospacing="1" w:after="100" w:afterAutospacing="1" w:line="400" w:lineRule="atLeast"/>
              <w:jc w:val="left"/>
              <w:rPr>
                <w:rFonts w:ascii="宋体" w:eastAsia="宋体" w:hAnsi="宋体" w:cs="宋体"/>
                <w:kern w:val="0"/>
                <w:sz w:val="24"/>
                <w:szCs w:val="24"/>
              </w:rPr>
            </w:pPr>
            <w:r w:rsidRPr="0004415F">
              <w:rPr>
                <w:rFonts w:ascii="宋体" w:eastAsia="宋体" w:hAnsi="宋体" w:cs="宋体"/>
                <w:color w:val="000000"/>
                <w:kern w:val="0"/>
                <w:sz w:val="24"/>
                <w:szCs w:val="24"/>
              </w:rPr>
              <w:t>2、投标人售后服务响应时间评比，第一名：得2分，第二名：得1分，其余不得分。</w:t>
            </w:r>
          </w:p>
          <w:p w:rsidR="0004415F" w:rsidRPr="0004415F" w:rsidRDefault="0004415F" w:rsidP="0004415F">
            <w:pPr>
              <w:widowControl/>
              <w:shd w:val="clear" w:color="auto" w:fill="FFFFFF"/>
              <w:spacing w:before="100" w:beforeAutospacing="1" w:after="100" w:afterAutospacing="1" w:line="400" w:lineRule="atLeast"/>
              <w:jc w:val="left"/>
              <w:rPr>
                <w:rFonts w:ascii="宋体" w:eastAsia="宋体" w:hAnsi="宋体" w:cs="宋体"/>
                <w:kern w:val="0"/>
                <w:sz w:val="24"/>
                <w:szCs w:val="24"/>
              </w:rPr>
            </w:pPr>
            <w:r w:rsidRPr="0004415F">
              <w:rPr>
                <w:rFonts w:ascii="宋体" w:eastAsia="宋体" w:hAnsi="宋体" w:cs="宋体"/>
                <w:color w:val="000000"/>
                <w:kern w:val="0"/>
                <w:sz w:val="24"/>
                <w:szCs w:val="24"/>
              </w:rPr>
              <w:t>3、投标人售后服务网点在项目所在城市的得5分（售后服务机构为第三方时，需提供投标人与第三方售后服务机构的合作协议及第三方售后服务机构的营业执照复印件（显示屏必须在营业执照的经营范围中，否则视为无效），第三方服务机构必须为专业LED显示屏销售和服务商），项目所在地无售后服务网点不得分。</w:t>
            </w:r>
          </w:p>
          <w:p w:rsidR="0004415F" w:rsidRPr="0004415F" w:rsidRDefault="0004415F" w:rsidP="0004415F">
            <w:pPr>
              <w:widowControl/>
              <w:shd w:val="clear" w:color="auto" w:fill="FFFFFF"/>
              <w:spacing w:before="100" w:beforeAutospacing="1" w:after="100" w:afterAutospacing="1" w:line="400" w:lineRule="atLeast"/>
              <w:jc w:val="left"/>
              <w:rPr>
                <w:rFonts w:ascii="宋体" w:eastAsia="宋体" w:hAnsi="宋体" w:cs="宋体"/>
                <w:kern w:val="0"/>
                <w:sz w:val="24"/>
                <w:szCs w:val="24"/>
              </w:rPr>
            </w:pPr>
            <w:r w:rsidRPr="0004415F">
              <w:rPr>
                <w:rFonts w:ascii="宋体" w:eastAsia="宋体" w:hAnsi="宋体" w:cs="宋体"/>
                <w:color w:val="000000"/>
                <w:kern w:val="0"/>
                <w:sz w:val="24"/>
                <w:szCs w:val="24"/>
              </w:rPr>
              <w:t>4、免费质保期限时间评比，第一名：得5分，第二名：得2分，其余不得分。</w:t>
            </w:r>
          </w:p>
        </w:tc>
        <w:tc>
          <w:tcPr>
            <w:tcW w:w="20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315" w:lineRule="atLeast"/>
              <w:jc w:val="left"/>
              <w:rPr>
                <w:rFonts w:ascii="宋体" w:eastAsia="宋体" w:hAnsi="宋体" w:cs="宋体"/>
                <w:kern w:val="0"/>
                <w:sz w:val="24"/>
                <w:szCs w:val="24"/>
              </w:rPr>
            </w:pPr>
            <w:r w:rsidRPr="0004415F">
              <w:rPr>
                <w:rFonts w:ascii="宋体" w:eastAsia="宋体" w:hAnsi="宋体" w:cs="宋体"/>
                <w:kern w:val="0"/>
                <w:sz w:val="24"/>
                <w:szCs w:val="24"/>
              </w:rPr>
              <w:t> </w:t>
            </w:r>
          </w:p>
        </w:tc>
      </w:tr>
      <w:tr w:rsidR="0004415F" w:rsidRPr="0004415F" w:rsidTr="0004415F">
        <w:trPr>
          <w:trHeight w:val="90"/>
          <w:jc w:val="center"/>
        </w:trPr>
        <w:tc>
          <w:tcPr>
            <w:tcW w:w="7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90" w:lineRule="atLeast"/>
              <w:jc w:val="center"/>
              <w:rPr>
                <w:rFonts w:ascii="宋体" w:eastAsia="宋体" w:hAnsi="宋体" w:cs="宋体"/>
                <w:kern w:val="0"/>
                <w:sz w:val="24"/>
                <w:szCs w:val="24"/>
              </w:rPr>
            </w:pPr>
            <w:r w:rsidRPr="0004415F">
              <w:rPr>
                <w:rFonts w:ascii="宋体" w:eastAsia="宋体" w:hAnsi="宋体" w:cs="宋体"/>
                <w:color w:val="000000"/>
                <w:kern w:val="0"/>
                <w:sz w:val="24"/>
                <w:szCs w:val="24"/>
              </w:rPr>
              <w:t>5</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90" w:lineRule="atLeast"/>
              <w:jc w:val="left"/>
              <w:rPr>
                <w:rFonts w:ascii="宋体" w:eastAsia="宋体" w:hAnsi="宋体" w:cs="宋体"/>
                <w:kern w:val="0"/>
                <w:sz w:val="24"/>
                <w:szCs w:val="24"/>
              </w:rPr>
            </w:pPr>
            <w:r w:rsidRPr="0004415F">
              <w:rPr>
                <w:rFonts w:ascii="宋体" w:eastAsia="宋体" w:hAnsi="宋体" w:cs="宋体"/>
                <w:color w:val="000000"/>
                <w:kern w:val="0"/>
                <w:sz w:val="24"/>
                <w:szCs w:val="24"/>
              </w:rPr>
              <w:t>投标文件的规范性1%</w:t>
            </w:r>
          </w:p>
        </w:tc>
        <w:tc>
          <w:tcPr>
            <w:tcW w:w="71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90" w:lineRule="atLeast"/>
              <w:jc w:val="center"/>
              <w:rPr>
                <w:rFonts w:ascii="宋体" w:eastAsia="宋体" w:hAnsi="宋体" w:cs="宋体"/>
                <w:kern w:val="0"/>
                <w:sz w:val="24"/>
                <w:szCs w:val="24"/>
              </w:rPr>
            </w:pPr>
            <w:r w:rsidRPr="0004415F">
              <w:rPr>
                <w:rFonts w:ascii="宋体" w:eastAsia="宋体" w:hAnsi="宋体" w:cs="宋体"/>
                <w:color w:val="000000"/>
                <w:kern w:val="0"/>
                <w:sz w:val="24"/>
                <w:szCs w:val="24"/>
              </w:rPr>
              <w:t>1</w:t>
            </w:r>
          </w:p>
        </w:tc>
        <w:tc>
          <w:tcPr>
            <w:tcW w:w="467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90" w:lineRule="atLeast"/>
              <w:jc w:val="left"/>
              <w:rPr>
                <w:rFonts w:ascii="宋体" w:eastAsia="宋体" w:hAnsi="宋体" w:cs="宋体"/>
                <w:kern w:val="0"/>
                <w:sz w:val="24"/>
                <w:szCs w:val="24"/>
              </w:rPr>
            </w:pPr>
            <w:r w:rsidRPr="0004415F">
              <w:rPr>
                <w:rFonts w:ascii="宋体" w:eastAsia="宋体" w:hAnsi="宋体" w:cs="宋体"/>
                <w:color w:val="000000"/>
                <w:kern w:val="0"/>
                <w:sz w:val="24"/>
                <w:szCs w:val="24"/>
              </w:rPr>
              <w:t>投标文件制作规范，没有细微偏差情形的得1分；有一项细微偏差扣0.5分，直至该项分值扣完为止。</w:t>
            </w:r>
          </w:p>
        </w:tc>
        <w:tc>
          <w:tcPr>
            <w:tcW w:w="20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415F" w:rsidRPr="0004415F" w:rsidRDefault="0004415F" w:rsidP="0004415F">
            <w:pPr>
              <w:widowControl/>
              <w:spacing w:before="100" w:beforeAutospacing="1" w:after="100" w:afterAutospacing="1" w:line="90" w:lineRule="atLeast"/>
              <w:jc w:val="left"/>
              <w:rPr>
                <w:rFonts w:ascii="宋体" w:eastAsia="宋体" w:hAnsi="宋体" w:cs="宋体"/>
                <w:kern w:val="0"/>
                <w:sz w:val="24"/>
                <w:szCs w:val="24"/>
              </w:rPr>
            </w:pPr>
            <w:r w:rsidRPr="0004415F">
              <w:rPr>
                <w:rFonts w:ascii="宋体" w:eastAsia="宋体" w:hAnsi="宋体" w:cs="宋体"/>
                <w:kern w:val="0"/>
                <w:sz w:val="24"/>
                <w:szCs w:val="24"/>
              </w:rPr>
              <w:t> </w:t>
            </w:r>
          </w:p>
        </w:tc>
      </w:tr>
    </w:tbl>
    <w:p w:rsidR="0004415F" w:rsidRPr="00024BD0" w:rsidRDefault="0004415F" w:rsidP="00024BD0">
      <w:pPr>
        <w:widowControl/>
        <w:shd w:val="clear" w:color="auto" w:fill="FFFFFF"/>
        <w:spacing w:line="600" w:lineRule="atLeast"/>
        <w:ind w:firstLine="640"/>
        <w:jc w:val="left"/>
        <w:rPr>
          <w:rFonts w:ascii="宋体" w:eastAsia="宋体" w:hAnsi="宋体" w:cs="宋体"/>
          <w:color w:val="434343"/>
          <w:kern w:val="0"/>
          <w:szCs w:val="21"/>
        </w:rPr>
      </w:pPr>
    </w:p>
    <w:p w:rsidR="00FA0331" w:rsidRDefault="00FA0331"/>
    <w:sectPr w:rsidR="00FA0331" w:rsidSect="00FA03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477" w:rsidRDefault="00650477" w:rsidP="00024BD0">
      <w:r>
        <w:separator/>
      </w:r>
    </w:p>
  </w:endnote>
  <w:endnote w:type="continuationSeparator" w:id="1">
    <w:p w:rsidR="00650477" w:rsidRDefault="00650477" w:rsidP="00024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0A87" w:usb1="00000000" w:usb2="00000000" w:usb3="00000000" w:csb0="000001B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477" w:rsidRDefault="00650477" w:rsidP="00024BD0">
      <w:r>
        <w:separator/>
      </w:r>
    </w:p>
  </w:footnote>
  <w:footnote w:type="continuationSeparator" w:id="1">
    <w:p w:rsidR="00650477" w:rsidRDefault="00650477" w:rsidP="00024B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252"/>
    <w:rsid w:val="00024BD0"/>
    <w:rsid w:val="0004415F"/>
    <w:rsid w:val="001978A6"/>
    <w:rsid w:val="0048039E"/>
    <w:rsid w:val="005B0E7A"/>
    <w:rsid w:val="00650477"/>
    <w:rsid w:val="009D5F0B"/>
    <w:rsid w:val="00D73878"/>
    <w:rsid w:val="00ED06F9"/>
    <w:rsid w:val="00F24252"/>
    <w:rsid w:val="00FA0331"/>
    <w:rsid w:val="00FD0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4B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4BD0"/>
    <w:rPr>
      <w:sz w:val="18"/>
      <w:szCs w:val="18"/>
    </w:rPr>
  </w:style>
  <w:style w:type="paragraph" w:styleId="a4">
    <w:name w:val="footer"/>
    <w:basedOn w:val="a"/>
    <w:link w:val="Char0"/>
    <w:uiPriority w:val="99"/>
    <w:semiHidden/>
    <w:unhideWhenUsed/>
    <w:rsid w:val="00024B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4BD0"/>
    <w:rPr>
      <w:sz w:val="18"/>
      <w:szCs w:val="18"/>
    </w:rPr>
  </w:style>
  <w:style w:type="character" w:styleId="a5">
    <w:name w:val="Hyperlink"/>
    <w:basedOn w:val="a0"/>
    <w:uiPriority w:val="99"/>
    <w:semiHidden/>
    <w:unhideWhenUsed/>
    <w:rsid w:val="0004415F"/>
    <w:rPr>
      <w:color w:val="0000FF"/>
      <w:u w:val="single"/>
    </w:rPr>
  </w:style>
  <w:style w:type="character" w:customStyle="1" w:styleId="apple-converted-space">
    <w:name w:val="apple-converted-space"/>
    <w:basedOn w:val="a0"/>
    <w:rsid w:val="0004415F"/>
  </w:style>
</w:styles>
</file>

<file path=word/webSettings.xml><?xml version="1.0" encoding="utf-8"?>
<w:webSettings xmlns:r="http://schemas.openxmlformats.org/officeDocument/2006/relationships" xmlns:w="http://schemas.openxmlformats.org/wordprocessingml/2006/main">
  <w:divs>
    <w:div w:id="1061174508">
      <w:bodyDiv w:val="1"/>
      <w:marLeft w:val="0"/>
      <w:marRight w:val="0"/>
      <w:marTop w:val="0"/>
      <w:marBottom w:val="0"/>
      <w:divBdr>
        <w:top w:val="none" w:sz="0" w:space="0" w:color="auto"/>
        <w:left w:val="none" w:sz="0" w:space="0" w:color="auto"/>
        <w:bottom w:val="none" w:sz="0" w:space="0" w:color="auto"/>
        <w:right w:val="none" w:sz="0" w:space="0" w:color="auto"/>
      </w:divBdr>
      <w:divsChild>
        <w:div w:id="1062675752">
          <w:marLeft w:val="0"/>
          <w:marRight w:val="31"/>
          <w:marTop w:val="0"/>
          <w:marBottom w:val="0"/>
          <w:divBdr>
            <w:top w:val="none" w:sz="0" w:space="0" w:color="auto"/>
            <w:left w:val="none" w:sz="0" w:space="0" w:color="auto"/>
            <w:bottom w:val="none" w:sz="0" w:space="0" w:color="auto"/>
            <w:right w:val="none" w:sz="0" w:space="0" w:color="auto"/>
          </w:divBdr>
        </w:div>
        <w:div w:id="35786747">
          <w:marLeft w:val="0"/>
          <w:marRight w:val="31"/>
          <w:marTop w:val="0"/>
          <w:marBottom w:val="0"/>
          <w:divBdr>
            <w:top w:val="none" w:sz="0" w:space="0" w:color="auto"/>
            <w:left w:val="none" w:sz="0" w:space="0" w:color="auto"/>
            <w:bottom w:val="none" w:sz="0" w:space="0" w:color="auto"/>
            <w:right w:val="none" w:sz="0" w:space="0" w:color="auto"/>
          </w:divBdr>
        </w:div>
        <w:div w:id="168721241">
          <w:marLeft w:val="0"/>
          <w:marRight w:val="31"/>
          <w:marTop w:val="0"/>
          <w:marBottom w:val="0"/>
          <w:divBdr>
            <w:top w:val="none" w:sz="0" w:space="0" w:color="auto"/>
            <w:left w:val="none" w:sz="0" w:space="0" w:color="auto"/>
            <w:bottom w:val="none" w:sz="0" w:space="0" w:color="auto"/>
            <w:right w:val="none" w:sz="0" w:space="0" w:color="auto"/>
          </w:divBdr>
        </w:div>
        <w:div w:id="628776952">
          <w:marLeft w:val="0"/>
          <w:marRight w:val="31"/>
          <w:marTop w:val="0"/>
          <w:marBottom w:val="0"/>
          <w:divBdr>
            <w:top w:val="none" w:sz="0" w:space="0" w:color="auto"/>
            <w:left w:val="none" w:sz="0" w:space="0" w:color="auto"/>
            <w:bottom w:val="none" w:sz="0" w:space="0" w:color="auto"/>
            <w:right w:val="none" w:sz="0" w:space="0" w:color="auto"/>
          </w:divBdr>
        </w:div>
      </w:divsChild>
    </w:div>
    <w:div w:id="1290625563">
      <w:bodyDiv w:val="1"/>
      <w:marLeft w:val="0"/>
      <w:marRight w:val="0"/>
      <w:marTop w:val="0"/>
      <w:marBottom w:val="0"/>
      <w:divBdr>
        <w:top w:val="none" w:sz="0" w:space="0" w:color="auto"/>
        <w:left w:val="none" w:sz="0" w:space="0" w:color="auto"/>
        <w:bottom w:val="none" w:sz="0" w:space="0" w:color="auto"/>
        <w:right w:val="none" w:sz="0" w:space="0" w:color="auto"/>
      </w:divBdr>
      <w:divsChild>
        <w:div w:id="1700161205">
          <w:marLeft w:val="0"/>
          <w:marRight w:val="0"/>
          <w:marTop w:val="120"/>
          <w:marBottom w:val="330"/>
          <w:divBdr>
            <w:top w:val="none" w:sz="0" w:space="0" w:color="auto"/>
            <w:left w:val="none" w:sz="0" w:space="0" w:color="auto"/>
            <w:bottom w:val="none" w:sz="0" w:space="0" w:color="auto"/>
            <w:right w:val="none" w:sz="0" w:space="0" w:color="auto"/>
          </w:divBdr>
        </w:div>
        <w:div w:id="1127431609">
          <w:marLeft w:val="0"/>
          <w:marRight w:val="0"/>
          <w:marTop w:val="240"/>
          <w:marBottom w:val="0"/>
          <w:divBdr>
            <w:top w:val="none" w:sz="0" w:space="0" w:color="auto"/>
            <w:left w:val="none" w:sz="0" w:space="0" w:color="auto"/>
            <w:bottom w:val="none" w:sz="0" w:space="0" w:color="auto"/>
            <w:right w:val="none" w:sz="0" w:space="0" w:color="auto"/>
          </w:divBdr>
        </w:div>
        <w:div w:id="2040277108">
          <w:marLeft w:val="0"/>
          <w:marRight w:val="0"/>
          <w:marTop w:val="240"/>
          <w:marBottom w:val="0"/>
          <w:divBdr>
            <w:top w:val="none" w:sz="0" w:space="0" w:color="auto"/>
            <w:left w:val="none" w:sz="0" w:space="0" w:color="auto"/>
            <w:bottom w:val="none" w:sz="0" w:space="0" w:color="auto"/>
            <w:right w:val="none" w:sz="0" w:space="0" w:color="auto"/>
          </w:divBdr>
        </w:div>
        <w:div w:id="206256592">
          <w:marLeft w:val="0"/>
          <w:marRight w:val="0"/>
          <w:marTop w:val="0"/>
          <w:marBottom w:val="0"/>
          <w:divBdr>
            <w:top w:val="none" w:sz="0" w:space="0" w:color="auto"/>
            <w:left w:val="none" w:sz="0" w:space="0" w:color="auto"/>
            <w:bottom w:val="none" w:sz="0" w:space="0" w:color="auto"/>
            <w:right w:val="none" w:sz="0" w:space="0" w:color="auto"/>
          </w:divBdr>
        </w:div>
        <w:div w:id="2077166984">
          <w:marLeft w:val="0"/>
          <w:marRight w:val="0"/>
          <w:marTop w:val="0"/>
          <w:marBottom w:val="0"/>
          <w:divBdr>
            <w:top w:val="none" w:sz="0" w:space="0" w:color="auto"/>
            <w:left w:val="none" w:sz="0" w:space="0" w:color="auto"/>
            <w:bottom w:val="none" w:sz="0" w:space="0" w:color="auto"/>
            <w:right w:val="none" w:sz="0" w:space="0" w:color="auto"/>
          </w:divBdr>
        </w:div>
        <w:div w:id="743065123">
          <w:marLeft w:val="0"/>
          <w:marRight w:val="0"/>
          <w:marTop w:val="0"/>
          <w:marBottom w:val="0"/>
          <w:divBdr>
            <w:top w:val="none" w:sz="0" w:space="0" w:color="auto"/>
            <w:left w:val="none" w:sz="0" w:space="0" w:color="auto"/>
            <w:bottom w:val="none" w:sz="0" w:space="0" w:color="auto"/>
            <w:right w:val="none" w:sz="0" w:space="0" w:color="auto"/>
          </w:divBdr>
        </w:div>
        <w:div w:id="1483888455">
          <w:marLeft w:val="0"/>
          <w:marRight w:val="0"/>
          <w:marTop w:val="0"/>
          <w:marBottom w:val="0"/>
          <w:divBdr>
            <w:top w:val="none" w:sz="0" w:space="0" w:color="auto"/>
            <w:left w:val="none" w:sz="0" w:space="0" w:color="auto"/>
            <w:bottom w:val="none" w:sz="0" w:space="0" w:color="auto"/>
            <w:right w:val="none" w:sz="0" w:space="0" w:color="auto"/>
          </w:divBdr>
        </w:div>
        <w:div w:id="1672487085">
          <w:marLeft w:val="0"/>
          <w:marRight w:val="0"/>
          <w:marTop w:val="0"/>
          <w:marBottom w:val="0"/>
          <w:divBdr>
            <w:top w:val="none" w:sz="0" w:space="0" w:color="auto"/>
            <w:left w:val="none" w:sz="0" w:space="0" w:color="auto"/>
            <w:bottom w:val="none" w:sz="0" w:space="0" w:color="auto"/>
            <w:right w:val="none" w:sz="0" w:space="0" w:color="auto"/>
          </w:divBdr>
        </w:div>
        <w:div w:id="350300640">
          <w:marLeft w:val="0"/>
          <w:marRight w:val="0"/>
          <w:marTop w:val="0"/>
          <w:marBottom w:val="0"/>
          <w:divBdr>
            <w:top w:val="none" w:sz="0" w:space="0" w:color="auto"/>
            <w:left w:val="none" w:sz="0" w:space="0" w:color="auto"/>
            <w:bottom w:val="none" w:sz="0" w:space="0" w:color="auto"/>
            <w:right w:val="none" w:sz="0" w:space="0" w:color="auto"/>
          </w:divBdr>
        </w:div>
        <w:div w:id="212157384">
          <w:marLeft w:val="0"/>
          <w:marRight w:val="0"/>
          <w:marTop w:val="0"/>
          <w:marBottom w:val="0"/>
          <w:divBdr>
            <w:top w:val="none" w:sz="0" w:space="0" w:color="auto"/>
            <w:left w:val="none" w:sz="0" w:space="0" w:color="auto"/>
            <w:bottom w:val="none" w:sz="0" w:space="0" w:color="auto"/>
            <w:right w:val="none" w:sz="0" w:space="0" w:color="auto"/>
          </w:divBdr>
        </w:div>
        <w:div w:id="2038462828">
          <w:marLeft w:val="0"/>
          <w:marRight w:val="0"/>
          <w:marTop w:val="0"/>
          <w:marBottom w:val="0"/>
          <w:divBdr>
            <w:top w:val="none" w:sz="0" w:space="0" w:color="auto"/>
            <w:left w:val="none" w:sz="0" w:space="0" w:color="auto"/>
            <w:bottom w:val="none" w:sz="0" w:space="0" w:color="auto"/>
            <w:right w:val="none" w:sz="0" w:space="0" w:color="auto"/>
          </w:divBdr>
        </w:div>
        <w:div w:id="1299797898">
          <w:marLeft w:val="0"/>
          <w:marRight w:val="0"/>
          <w:marTop w:val="0"/>
          <w:marBottom w:val="0"/>
          <w:divBdr>
            <w:top w:val="none" w:sz="0" w:space="0" w:color="auto"/>
            <w:left w:val="none" w:sz="0" w:space="0" w:color="auto"/>
            <w:bottom w:val="none" w:sz="0" w:space="0" w:color="auto"/>
            <w:right w:val="none" w:sz="0" w:space="0" w:color="auto"/>
          </w:divBdr>
        </w:div>
        <w:div w:id="1545363666">
          <w:marLeft w:val="0"/>
          <w:marRight w:val="0"/>
          <w:marTop w:val="240"/>
          <w:marBottom w:val="240"/>
          <w:divBdr>
            <w:top w:val="none" w:sz="0" w:space="0" w:color="auto"/>
            <w:left w:val="none" w:sz="0" w:space="0" w:color="auto"/>
            <w:bottom w:val="none" w:sz="0" w:space="0" w:color="auto"/>
            <w:right w:val="none" w:sz="0" w:space="0" w:color="auto"/>
          </w:divBdr>
        </w:div>
        <w:div w:id="1992059449">
          <w:marLeft w:val="0"/>
          <w:marRight w:val="0"/>
          <w:marTop w:val="240"/>
          <w:marBottom w:val="240"/>
          <w:divBdr>
            <w:top w:val="none" w:sz="0" w:space="0" w:color="auto"/>
            <w:left w:val="none" w:sz="0" w:space="0" w:color="auto"/>
            <w:bottom w:val="none" w:sz="0" w:space="0" w:color="auto"/>
            <w:right w:val="none" w:sz="0" w:space="0" w:color="auto"/>
          </w:divBdr>
        </w:div>
        <w:div w:id="666514337">
          <w:marLeft w:val="0"/>
          <w:marRight w:val="0"/>
          <w:marTop w:val="240"/>
          <w:marBottom w:val="0"/>
          <w:divBdr>
            <w:top w:val="none" w:sz="0" w:space="0" w:color="auto"/>
            <w:left w:val="none" w:sz="0" w:space="0" w:color="auto"/>
            <w:bottom w:val="none" w:sz="0" w:space="0" w:color="auto"/>
            <w:right w:val="none" w:sz="0" w:space="0" w:color="auto"/>
          </w:divBdr>
        </w:div>
        <w:div w:id="981544751">
          <w:marLeft w:val="0"/>
          <w:marRight w:val="0"/>
          <w:marTop w:val="240"/>
          <w:marBottom w:val="0"/>
          <w:divBdr>
            <w:top w:val="none" w:sz="0" w:space="0" w:color="auto"/>
            <w:left w:val="none" w:sz="0" w:space="0" w:color="auto"/>
            <w:bottom w:val="none" w:sz="0" w:space="0" w:color="auto"/>
            <w:right w:val="none" w:sz="0" w:space="0" w:color="auto"/>
          </w:divBdr>
        </w:div>
        <w:div w:id="764348003">
          <w:marLeft w:val="0"/>
          <w:marRight w:val="0"/>
          <w:marTop w:val="240"/>
          <w:marBottom w:val="0"/>
          <w:divBdr>
            <w:top w:val="none" w:sz="0" w:space="0" w:color="auto"/>
            <w:left w:val="none" w:sz="0" w:space="0" w:color="auto"/>
            <w:bottom w:val="none" w:sz="0" w:space="0" w:color="auto"/>
            <w:right w:val="none" w:sz="0" w:space="0" w:color="auto"/>
          </w:divBdr>
        </w:div>
        <w:div w:id="2119447420">
          <w:marLeft w:val="0"/>
          <w:marRight w:val="0"/>
          <w:marTop w:val="240"/>
          <w:marBottom w:val="0"/>
          <w:divBdr>
            <w:top w:val="none" w:sz="0" w:space="0" w:color="auto"/>
            <w:left w:val="none" w:sz="0" w:space="0" w:color="auto"/>
            <w:bottom w:val="none" w:sz="0" w:space="0" w:color="auto"/>
            <w:right w:val="none" w:sz="0" w:space="0" w:color="auto"/>
          </w:divBdr>
        </w:div>
        <w:div w:id="1114787414">
          <w:marLeft w:val="0"/>
          <w:marRight w:val="0"/>
          <w:marTop w:val="0"/>
          <w:marBottom w:val="0"/>
          <w:divBdr>
            <w:top w:val="none" w:sz="0" w:space="0" w:color="auto"/>
            <w:left w:val="none" w:sz="0" w:space="0" w:color="auto"/>
            <w:bottom w:val="none" w:sz="0" w:space="0" w:color="auto"/>
            <w:right w:val="none" w:sz="0" w:space="0" w:color="auto"/>
          </w:divBdr>
        </w:div>
        <w:div w:id="1402949005">
          <w:marLeft w:val="0"/>
          <w:marRight w:val="0"/>
          <w:marTop w:val="0"/>
          <w:marBottom w:val="0"/>
          <w:divBdr>
            <w:top w:val="none" w:sz="0" w:space="0" w:color="auto"/>
            <w:left w:val="none" w:sz="0" w:space="0" w:color="auto"/>
            <w:bottom w:val="none" w:sz="0" w:space="0" w:color="auto"/>
            <w:right w:val="none" w:sz="0" w:space="0" w:color="auto"/>
          </w:divBdr>
        </w:div>
        <w:div w:id="717633608">
          <w:marLeft w:val="0"/>
          <w:marRight w:val="0"/>
          <w:marTop w:val="0"/>
          <w:marBottom w:val="0"/>
          <w:divBdr>
            <w:top w:val="none" w:sz="0" w:space="0" w:color="auto"/>
            <w:left w:val="none" w:sz="0" w:space="0" w:color="auto"/>
            <w:bottom w:val="none" w:sz="0" w:space="0" w:color="auto"/>
            <w:right w:val="none" w:sz="0" w:space="0" w:color="auto"/>
          </w:divBdr>
        </w:div>
        <w:div w:id="679503940">
          <w:marLeft w:val="0"/>
          <w:marRight w:val="0"/>
          <w:marTop w:val="240"/>
          <w:marBottom w:val="240"/>
          <w:divBdr>
            <w:top w:val="none" w:sz="0" w:space="0" w:color="auto"/>
            <w:left w:val="none" w:sz="0" w:space="0" w:color="auto"/>
            <w:bottom w:val="none" w:sz="0" w:space="0" w:color="auto"/>
            <w:right w:val="none" w:sz="0" w:space="0" w:color="auto"/>
          </w:divBdr>
        </w:div>
        <w:div w:id="551507310">
          <w:marLeft w:val="0"/>
          <w:marRight w:val="0"/>
          <w:marTop w:val="240"/>
          <w:marBottom w:val="240"/>
          <w:divBdr>
            <w:top w:val="none" w:sz="0" w:space="0" w:color="auto"/>
            <w:left w:val="none" w:sz="0" w:space="0" w:color="auto"/>
            <w:bottom w:val="none" w:sz="0" w:space="0" w:color="auto"/>
            <w:right w:val="none" w:sz="0" w:space="0" w:color="auto"/>
          </w:divBdr>
        </w:div>
        <w:div w:id="245310350">
          <w:marLeft w:val="0"/>
          <w:marRight w:val="0"/>
          <w:marTop w:val="240"/>
          <w:marBottom w:val="0"/>
          <w:divBdr>
            <w:top w:val="none" w:sz="0" w:space="0" w:color="auto"/>
            <w:left w:val="none" w:sz="0" w:space="0" w:color="auto"/>
            <w:bottom w:val="none" w:sz="0" w:space="0" w:color="auto"/>
            <w:right w:val="none" w:sz="0" w:space="0" w:color="auto"/>
          </w:divBdr>
        </w:div>
        <w:div w:id="377897633">
          <w:marLeft w:val="0"/>
          <w:marRight w:val="0"/>
          <w:marTop w:val="240"/>
          <w:marBottom w:val="0"/>
          <w:divBdr>
            <w:top w:val="none" w:sz="0" w:space="0" w:color="auto"/>
            <w:left w:val="none" w:sz="0" w:space="0" w:color="auto"/>
            <w:bottom w:val="none" w:sz="0" w:space="0" w:color="auto"/>
            <w:right w:val="none" w:sz="0" w:space="0" w:color="auto"/>
          </w:divBdr>
        </w:div>
        <w:div w:id="763650887">
          <w:marLeft w:val="0"/>
          <w:marRight w:val="0"/>
          <w:marTop w:val="240"/>
          <w:marBottom w:val="0"/>
          <w:divBdr>
            <w:top w:val="none" w:sz="0" w:space="0" w:color="auto"/>
            <w:left w:val="none" w:sz="0" w:space="0" w:color="auto"/>
            <w:bottom w:val="none" w:sz="0" w:space="0" w:color="auto"/>
            <w:right w:val="none" w:sz="0" w:space="0" w:color="auto"/>
          </w:divBdr>
        </w:div>
        <w:div w:id="1090154934">
          <w:marLeft w:val="0"/>
          <w:marRight w:val="0"/>
          <w:marTop w:val="240"/>
          <w:marBottom w:val="240"/>
          <w:divBdr>
            <w:top w:val="none" w:sz="0" w:space="0" w:color="auto"/>
            <w:left w:val="none" w:sz="0" w:space="0" w:color="auto"/>
            <w:bottom w:val="none" w:sz="0" w:space="0" w:color="auto"/>
            <w:right w:val="none" w:sz="0" w:space="0" w:color="auto"/>
          </w:divBdr>
        </w:div>
        <w:div w:id="1908568991">
          <w:marLeft w:val="0"/>
          <w:marRight w:val="0"/>
          <w:marTop w:val="240"/>
          <w:marBottom w:val="240"/>
          <w:divBdr>
            <w:top w:val="none" w:sz="0" w:space="0" w:color="auto"/>
            <w:left w:val="none" w:sz="0" w:space="0" w:color="auto"/>
            <w:bottom w:val="none" w:sz="0" w:space="0" w:color="auto"/>
            <w:right w:val="none" w:sz="0" w:space="0" w:color="auto"/>
          </w:divBdr>
        </w:div>
        <w:div w:id="1292008078">
          <w:marLeft w:val="0"/>
          <w:marRight w:val="0"/>
          <w:marTop w:val="240"/>
          <w:marBottom w:val="0"/>
          <w:divBdr>
            <w:top w:val="none" w:sz="0" w:space="0" w:color="auto"/>
            <w:left w:val="none" w:sz="0" w:space="0" w:color="auto"/>
            <w:bottom w:val="none" w:sz="0" w:space="0" w:color="auto"/>
            <w:right w:val="none" w:sz="0" w:space="0" w:color="auto"/>
          </w:divBdr>
        </w:div>
        <w:div w:id="1039621837">
          <w:marLeft w:val="0"/>
          <w:marRight w:val="0"/>
          <w:marTop w:val="240"/>
          <w:marBottom w:val="0"/>
          <w:divBdr>
            <w:top w:val="none" w:sz="0" w:space="0" w:color="auto"/>
            <w:left w:val="none" w:sz="0" w:space="0" w:color="auto"/>
            <w:bottom w:val="none" w:sz="0" w:space="0" w:color="auto"/>
            <w:right w:val="none" w:sz="0" w:space="0" w:color="auto"/>
          </w:divBdr>
        </w:div>
        <w:div w:id="1894197907">
          <w:marLeft w:val="0"/>
          <w:marRight w:val="0"/>
          <w:marTop w:val="240"/>
          <w:marBottom w:val="0"/>
          <w:divBdr>
            <w:top w:val="none" w:sz="0" w:space="0" w:color="auto"/>
            <w:left w:val="none" w:sz="0" w:space="0" w:color="auto"/>
            <w:bottom w:val="none" w:sz="0" w:space="0" w:color="auto"/>
            <w:right w:val="none" w:sz="0" w:space="0" w:color="auto"/>
          </w:divBdr>
        </w:div>
        <w:div w:id="1400785797">
          <w:marLeft w:val="0"/>
          <w:marRight w:val="0"/>
          <w:marTop w:val="0"/>
          <w:marBottom w:val="0"/>
          <w:divBdr>
            <w:top w:val="none" w:sz="0" w:space="0" w:color="auto"/>
            <w:left w:val="none" w:sz="0" w:space="0" w:color="auto"/>
            <w:bottom w:val="none" w:sz="0" w:space="0" w:color="auto"/>
            <w:right w:val="none" w:sz="0" w:space="0" w:color="auto"/>
          </w:divBdr>
        </w:div>
        <w:div w:id="1438407439">
          <w:marLeft w:val="0"/>
          <w:marRight w:val="0"/>
          <w:marTop w:val="240"/>
          <w:marBottom w:val="240"/>
          <w:divBdr>
            <w:top w:val="none" w:sz="0" w:space="0" w:color="auto"/>
            <w:left w:val="none" w:sz="0" w:space="0" w:color="auto"/>
            <w:bottom w:val="none" w:sz="0" w:space="0" w:color="auto"/>
            <w:right w:val="none" w:sz="0" w:space="0" w:color="auto"/>
          </w:divBdr>
        </w:div>
        <w:div w:id="1754085973">
          <w:marLeft w:val="0"/>
          <w:marRight w:val="0"/>
          <w:marTop w:val="240"/>
          <w:marBottom w:val="240"/>
          <w:divBdr>
            <w:top w:val="none" w:sz="0" w:space="0" w:color="auto"/>
            <w:left w:val="none" w:sz="0" w:space="0" w:color="auto"/>
            <w:bottom w:val="none" w:sz="0" w:space="0" w:color="auto"/>
            <w:right w:val="none" w:sz="0" w:space="0" w:color="auto"/>
          </w:divBdr>
        </w:div>
        <w:div w:id="2000842083">
          <w:marLeft w:val="0"/>
          <w:marRight w:val="0"/>
          <w:marTop w:val="240"/>
          <w:marBottom w:val="0"/>
          <w:divBdr>
            <w:top w:val="none" w:sz="0" w:space="0" w:color="auto"/>
            <w:left w:val="none" w:sz="0" w:space="0" w:color="auto"/>
            <w:bottom w:val="none" w:sz="0" w:space="0" w:color="auto"/>
            <w:right w:val="none" w:sz="0" w:space="0" w:color="auto"/>
          </w:divBdr>
        </w:div>
        <w:div w:id="622425757">
          <w:marLeft w:val="0"/>
          <w:marRight w:val="0"/>
          <w:marTop w:val="240"/>
          <w:marBottom w:val="0"/>
          <w:divBdr>
            <w:top w:val="none" w:sz="0" w:space="0" w:color="auto"/>
            <w:left w:val="none" w:sz="0" w:space="0" w:color="auto"/>
            <w:bottom w:val="none" w:sz="0" w:space="0" w:color="auto"/>
            <w:right w:val="none" w:sz="0" w:space="0" w:color="auto"/>
          </w:divBdr>
        </w:div>
        <w:div w:id="214703065">
          <w:marLeft w:val="0"/>
          <w:marRight w:val="0"/>
          <w:marTop w:val="240"/>
          <w:marBottom w:val="0"/>
          <w:divBdr>
            <w:top w:val="none" w:sz="0" w:space="0" w:color="auto"/>
            <w:left w:val="none" w:sz="0" w:space="0" w:color="auto"/>
            <w:bottom w:val="none" w:sz="0" w:space="0" w:color="auto"/>
            <w:right w:val="none" w:sz="0" w:space="0" w:color="auto"/>
          </w:divBdr>
        </w:div>
        <w:div w:id="1544249054">
          <w:marLeft w:val="0"/>
          <w:marRight w:val="0"/>
          <w:marTop w:val="240"/>
          <w:marBottom w:val="0"/>
          <w:divBdr>
            <w:top w:val="none" w:sz="0" w:space="0" w:color="auto"/>
            <w:left w:val="none" w:sz="0" w:space="0" w:color="auto"/>
            <w:bottom w:val="none" w:sz="0" w:space="0" w:color="auto"/>
            <w:right w:val="none" w:sz="0" w:space="0" w:color="auto"/>
          </w:divBdr>
        </w:div>
        <w:div w:id="399249408">
          <w:marLeft w:val="0"/>
          <w:marRight w:val="0"/>
          <w:marTop w:val="0"/>
          <w:marBottom w:val="0"/>
          <w:divBdr>
            <w:top w:val="none" w:sz="0" w:space="0" w:color="auto"/>
            <w:left w:val="none" w:sz="0" w:space="0" w:color="auto"/>
            <w:bottom w:val="none" w:sz="0" w:space="0" w:color="auto"/>
            <w:right w:val="none" w:sz="0" w:space="0" w:color="auto"/>
          </w:divBdr>
        </w:div>
        <w:div w:id="1859611269">
          <w:marLeft w:val="0"/>
          <w:marRight w:val="0"/>
          <w:marTop w:val="240"/>
          <w:marBottom w:val="240"/>
          <w:divBdr>
            <w:top w:val="none" w:sz="0" w:space="0" w:color="auto"/>
            <w:left w:val="none" w:sz="0" w:space="0" w:color="auto"/>
            <w:bottom w:val="none" w:sz="0" w:space="0" w:color="auto"/>
            <w:right w:val="none" w:sz="0" w:space="0" w:color="auto"/>
          </w:divBdr>
        </w:div>
        <w:div w:id="204483670">
          <w:marLeft w:val="0"/>
          <w:marRight w:val="0"/>
          <w:marTop w:val="240"/>
          <w:marBottom w:val="240"/>
          <w:divBdr>
            <w:top w:val="none" w:sz="0" w:space="0" w:color="auto"/>
            <w:left w:val="none" w:sz="0" w:space="0" w:color="auto"/>
            <w:bottom w:val="none" w:sz="0" w:space="0" w:color="auto"/>
            <w:right w:val="none" w:sz="0" w:space="0" w:color="auto"/>
          </w:divBdr>
        </w:div>
        <w:div w:id="1878425369">
          <w:marLeft w:val="0"/>
          <w:marRight w:val="0"/>
          <w:marTop w:val="240"/>
          <w:marBottom w:val="0"/>
          <w:divBdr>
            <w:top w:val="none" w:sz="0" w:space="0" w:color="auto"/>
            <w:left w:val="none" w:sz="0" w:space="0" w:color="auto"/>
            <w:bottom w:val="none" w:sz="0" w:space="0" w:color="auto"/>
            <w:right w:val="none" w:sz="0" w:space="0" w:color="auto"/>
          </w:divBdr>
        </w:div>
        <w:div w:id="2128504968">
          <w:marLeft w:val="0"/>
          <w:marRight w:val="0"/>
          <w:marTop w:val="240"/>
          <w:marBottom w:val="0"/>
          <w:divBdr>
            <w:top w:val="none" w:sz="0" w:space="0" w:color="auto"/>
            <w:left w:val="none" w:sz="0" w:space="0" w:color="auto"/>
            <w:bottom w:val="none" w:sz="0" w:space="0" w:color="auto"/>
            <w:right w:val="none" w:sz="0" w:space="0" w:color="auto"/>
          </w:divBdr>
        </w:div>
        <w:div w:id="1318614467">
          <w:marLeft w:val="0"/>
          <w:marRight w:val="0"/>
          <w:marTop w:val="0"/>
          <w:marBottom w:val="0"/>
          <w:divBdr>
            <w:top w:val="none" w:sz="0" w:space="0" w:color="auto"/>
            <w:left w:val="none" w:sz="0" w:space="0" w:color="auto"/>
            <w:bottom w:val="none" w:sz="0" w:space="0" w:color="auto"/>
            <w:right w:val="none" w:sz="0" w:space="0" w:color="auto"/>
          </w:divBdr>
        </w:div>
        <w:div w:id="1995908726">
          <w:marLeft w:val="0"/>
          <w:marRight w:val="0"/>
          <w:marTop w:val="0"/>
          <w:marBottom w:val="0"/>
          <w:divBdr>
            <w:top w:val="none" w:sz="0" w:space="0" w:color="auto"/>
            <w:left w:val="none" w:sz="0" w:space="0" w:color="auto"/>
            <w:bottom w:val="none" w:sz="0" w:space="0" w:color="auto"/>
            <w:right w:val="none" w:sz="0" w:space="0" w:color="auto"/>
          </w:divBdr>
        </w:div>
        <w:div w:id="163739525">
          <w:marLeft w:val="0"/>
          <w:marRight w:val="0"/>
          <w:marTop w:val="240"/>
          <w:marBottom w:val="240"/>
          <w:divBdr>
            <w:top w:val="none" w:sz="0" w:space="0" w:color="auto"/>
            <w:left w:val="none" w:sz="0" w:space="0" w:color="auto"/>
            <w:bottom w:val="none" w:sz="0" w:space="0" w:color="auto"/>
            <w:right w:val="none" w:sz="0" w:space="0" w:color="auto"/>
          </w:divBdr>
        </w:div>
        <w:div w:id="1707607163">
          <w:marLeft w:val="0"/>
          <w:marRight w:val="0"/>
          <w:marTop w:val="240"/>
          <w:marBottom w:val="0"/>
          <w:divBdr>
            <w:top w:val="none" w:sz="0" w:space="0" w:color="auto"/>
            <w:left w:val="none" w:sz="0" w:space="0" w:color="auto"/>
            <w:bottom w:val="none" w:sz="0" w:space="0" w:color="auto"/>
            <w:right w:val="none" w:sz="0" w:space="0" w:color="auto"/>
          </w:divBdr>
        </w:div>
        <w:div w:id="1517386116">
          <w:marLeft w:val="0"/>
          <w:marRight w:val="0"/>
          <w:marTop w:val="240"/>
          <w:marBottom w:val="0"/>
          <w:divBdr>
            <w:top w:val="none" w:sz="0" w:space="0" w:color="auto"/>
            <w:left w:val="none" w:sz="0" w:space="0" w:color="auto"/>
            <w:bottom w:val="none" w:sz="0" w:space="0" w:color="auto"/>
            <w:right w:val="none" w:sz="0" w:space="0" w:color="auto"/>
          </w:divBdr>
        </w:div>
        <w:div w:id="2018538899">
          <w:marLeft w:val="0"/>
          <w:marRight w:val="0"/>
          <w:marTop w:val="0"/>
          <w:marBottom w:val="0"/>
          <w:divBdr>
            <w:top w:val="none" w:sz="0" w:space="0" w:color="auto"/>
            <w:left w:val="none" w:sz="0" w:space="0" w:color="auto"/>
            <w:bottom w:val="none" w:sz="0" w:space="0" w:color="auto"/>
            <w:right w:val="none" w:sz="0" w:space="0" w:color="auto"/>
          </w:divBdr>
        </w:div>
        <w:div w:id="694816882">
          <w:marLeft w:val="0"/>
          <w:marRight w:val="0"/>
          <w:marTop w:val="240"/>
          <w:marBottom w:val="240"/>
          <w:divBdr>
            <w:top w:val="none" w:sz="0" w:space="0" w:color="auto"/>
            <w:left w:val="none" w:sz="0" w:space="0" w:color="auto"/>
            <w:bottom w:val="none" w:sz="0" w:space="0" w:color="auto"/>
            <w:right w:val="none" w:sz="0" w:space="0" w:color="auto"/>
          </w:divBdr>
        </w:div>
        <w:div w:id="1949194600">
          <w:marLeft w:val="0"/>
          <w:marRight w:val="0"/>
          <w:marTop w:val="240"/>
          <w:marBottom w:val="0"/>
          <w:divBdr>
            <w:top w:val="none" w:sz="0" w:space="0" w:color="auto"/>
            <w:left w:val="none" w:sz="0" w:space="0" w:color="auto"/>
            <w:bottom w:val="none" w:sz="0" w:space="0" w:color="auto"/>
            <w:right w:val="none" w:sz="0" w:space="0" w:color="auto"/>
          </w:divBdr>
        </w:div>
        <w:div w:id="470829663">
          <w:marLeft w:val="0"/>
          <w:marRight w:val="0"/>
          <w:marTop w:val="240"/>
          <w:marBottom w:val="0"/>
          <w:divBdr>
            <w:top w:val="none" w:sz="0" w:space="0" w:color="auto"/>
            <w:left w:val="none" w:sz="0" w:space="0" w:color="auto"/>
            <w:bottom w:val="none" w:sz="0" w:space="0" w:color="auto"/>
            <w:right w:val="none" w:sz="0" w:space="0" w:color="auto"/>
          </w:divBdr>
        </w:div>
        <w:div w:id="1220480517">
          <w:marLeft w:val="0"/>
          <w:marRight w:val="0"/>
          <w:marTop w:val="0"/>
          <w:marBottom w:val="0"/>
          <w:divBdr>
            <w:top w:val="none" w:sz="0" w:space="0" w:color="auto"/>
            <w:left w:val="none" w:sz="0" w:space="0" w:color="auto"/>
            <w:bottom w:val="none" w:sz="0" w:space="0" w:color="auto"/>
            <w:right w:val="none" w:sz="0" w:space="0" w:color="auto"/>
          </w:divBdr>
        </w:div>
        <w:div w:id="1384061502">
          <w:marLeft w:val="0"/>
          <w:marRight w:val="0"/>
          <w:marTop w:val="240"/>
          <w:marBottom w:val="240"/>
          <w:divBdr>
            <w:top w:val="none" w:sz="0" w:space="0" w:color="auto"/>
            <w:left w:val="none" w:sz="0" w:space="0" w:color="auto"/>
            <w:bottom w:val="none" w:sz="0" w:space="0" w:color="auto"/>
            <w:right w:val="none" w:sz="0" w:space="0" w:color="auto"/>
          </w:divBdr>
        </w:div>
        <w:div w:id="1114904113">
          <w:marLeft w:val="0"/>
          <w:marRight w:val="0"/>
          <w:marTop w:val="240"/>
          <w:marBottom w:val="0"/>
          <w:divBdr>
            <w:top w:val="none" w:sz="0" w:space="0" w:color="auto"/>
            <w:left w:val="none" w:sz="0" w:space="0" w:color="auto"/>
            <w:bottom w:val="none" w:sz="0" w:space="0" w:color="auto"/>
            <w:right w:val="none" w:sz="0" w:space="0" w:color="auto"/>
          </w:divBdr>
        </w:div>
        <w:div w:id="1684014030">
          <w:marLeft w:val="0"/>
          <w:marRight w:val="0"/>
          <w:marTop w:val="240"/>
          <w:marBottom w:val="0"/>
          <w:divBdr>
            <w:top w:val="none" w:sz="0" w:space="0" w:color="auto"/>
            <w:left w:val="none" w:sz="0" w:space="0" w:color="auto"/>
            <w:bottom w:val="none" w:sz="0" w:space="0" w:color="auto"/>
            <w:right w:val="none" w:sz="0" w:space="0" w:color="auto"/>
          </w:divBdr>
        </w:div>
        <w:div w:id="249704325">
          <w:marLeft w:val="0"/>
          <w:marRight w:val="0"/>
          <w:marTop w:val="0"/>
          <w:marBottom w:val="0"/>
          <w:divBdr>
            <w:top w:val="none" w:sz="0" w:space="0" w:color="auto"/>
            <w:left w:val="none" w:sz="0" w:space="0" w:color="auto"/>
            <w:bottom w:val="none" w:sz="0" w:space="0" w:color="auto"/>
            <w:right w:val="none" w:sz="0" w:space="0" w:color="auto"/>
          </w:divBdr>
        </w:div>
        <w:div w:id="535241119">
          <w:marLeft w:val="0"/>
          <w:marRight w:val="0"/>
          <w:marTop w:val="240"/>
          <w:marBottom w:val="240"/>
          <w:divBdr>
            <w:top w:val="none" w:sz="0" w:space="0" w:color="auto"/>
            <w:left w:val="none" w:sz="0" w:space="0" w:color="auto"/>
            <w:bottom w:val="none" w:sz="0" w:space="0" w:color="auto"/>
            <w:right w:val="none" w:sz="0" w:space="0" w:color="auto"/>
          </w:divBdr>
        </w:div>
        <w:div w:id="1900822604">
          <w:marLeft w:val="0"/>
          <w:marRight w:val="0"/>
          <w:marTop w:val="240"/>
          <w:marBottom w:val="0"/>
          <w:divBdr>
            <w:top w:val="none" w:sz="0" w:space="0" w:color="auto"/>
            <w:left w:val="none" w:sz="0" w:space="0" w:color="auto"/>
            <w:bottom w:val="none" w:sz="0" w:space="0" w:color="auto"/>
            <w:right w:val="none" w:sz="0" w:space="0" w:color="auto"/>
          </w:divBdr>
        </w:div>
        <w:div w:id="1017342228">
          <w:marLeft w:val="0"/>
          <w:marRight w:val="0"/>
          <w:marTop w:val="240"/>
          <w:marBottom w:val="0"/>
          <w:divBdr>
            <w:top w:val="none" w:sz="0" w:space="0" w:color="auto"/>
            <w:left w:val="none" w:sz="0" w:space="0" w:color="auto"/>
            <w:bottom w:val="none" w:sz="0" w:space="0" w:color="auto"/>
            <w:right w:val="none" w:sz="0" w:space="0" w:color="auto"/>
          </w:divBdr>
        </w:div>
        <w:div w:id="1218010963">
          <w:marLeft w:val="0"/>
          <w:marRight w:val="0"/>
          <w:marTop w:val="120"/>
          <w:marBottom w:val="330"/>
          <w:divBdr>
            <w:top w:val="none" w:sz="0" w:space="0" w:color="auto"/>
            <w:left w:val="none" w:sz="0" w:space="0" w:color="auto"/>
            <w:bottom w:val="none" w:sz="0" w:space="0" w:color="auto"/>
            <w:right w:val="none" w:sz="0" w:space="0" w:color="auto"/>
          </w:divBdr>
        </w:div>
        <w:div w:id="107824540">
          <w:marLeft w:val="0"/>
          <w:marRight w:val="0"/>
          <w:marTop w:val="0"/>
          <w:marBottom w:val="0"/>
          <w:divBdr>
            <w:top w:val="none" w:sz="0" w:space="0" w:color="auto"/>
            <w:left w:val="none" w:sz="0" w:space="0" w:color="auto"/>
            <w:bottom w:val="none" w:sz="0" w:space="0" w:color="auto"/>
            <w:right w:val="none" w:sz="0" w:space="0" w:color="auto"/>
          </w:divBdr>
        </w:div>
        <w:div w:id="417214274">
          <w:marLeft w:val="-38"/>
          <w:marRight w:val="0"/>
          <w:marTop w:val="0"/>
          <w:marBottom w:val="0"/>
          <w:divBdr>
            <w:top w:val="none" w:sz="0" w:space="0" w:color="auto"/>
            <w:left w:val="none" w:sz="0" w:space="0" w:color="auto"/>
            <w:bottom w:val="none" w:sz="0" w:space="0" w:color="auto"/>
            <w:right w:val="none" w:sz="0" w:space="0" w:color="auto"/>
          </w:divBdr>
        </w:div>
        <w:div w:id="420496294">
          <w:marLeft w:val="-38"/>
          <w:marRight w:val="0"/>
          <w:marTop w:val="0"/>
          <w:marBottom w:val="0"/>
          <w:divBdr>
            <w:top w:val="none" w:sz="0" w:space="0" w:color="auto"/>
            <w:left w:val="none" w:sz="0" w:space="0" w:color="auto"/>
            <w:bottom w:val="none" w:sz="0" w:space="0" w:color="auto"/>
            <w:right w:val="none" w:sz="0" w:space="0" w:color="auto"/>
          </w:divBdr>
        </w:div>
        <w:div w:id="1082681476">
          <w:marLeft w:val="69"/>
          <w:marRight w:val="0"/>
          <w:marTop w:val="0"/>
          <w:marBottom w:val="0"/>
          <w:divBdr>
            <w:top w:val="none" w:sz="0" w:space="0" w:color="auto"/>
            <w:left w:val="none" w:sz="0" w:space="0" w:color="auto"/>
            <w:bottom w:val="none" w:sz="0" w:space="0" w:color="auto"/>
            <w:right w:val="none" w:sz="0" w:space="0" w:color="auto"/>
          </w:divBdr>
        </w:div>
        <w:div w:id="1105807199">
          <w:marLeft w:val="0"/>
          <w:marRight w:val="0"/>
          <w:marTop w:val="0"/>
          <w:marBottom w:val="0"/>
          <w:divBdr>
            <w:top w:val="none" w:sz="0" w:space="0" w:color="auto"/>
            <w:left w:val="none" w:sz="0" w:space="0" w:color="auto"/>
            <w:bottom w:val="none" w:sz="0" w:space="0" w:color="auto"/>
            <w:right w:val="none" w:sz="0" w:space="0" w:color="auto"/>
          </w:divBdr>
        </w:div>
        <w:div w:id="403719658">
          <w:marLeft w:val="0"/>
          <w:marRight w:val="0"/>
          <w:marTop w:val="0"/>
          <w:marBottom w:val="0"/>
          <w:divBdr>
            <w:top w:val="none" w:sz="0" w:space="0" w:color="auto"/>
            <w:left w:val="none" w:sz="0" w:space="0" w:color="auto"/>
            <w:bottom w:val="none" w:sz="0" w:space="0" w:color="auto"/>
            <w:right w:val="none" w:sz="0" w:space="0" w:color="auto"/>
          </w:divBdr>
        </w:div>
        <w:div w:id="1185943427">
          <w:marLeft w:val="0"/>
          <w:marRight w:val="0"/>
          <w:marTop w:val="0"/>
          <w:marBottom w:val="0"/>
          <w:divBdr>
            <w:top w:val="none" w:sz="0" w:space="0" w:color="auto"/>
            <w:left w:val="none" w:sz="0" w:space="0" w:color="auto"/>
            <w:bottom w:val="none" w:sz="0" w:space="0" w:color="auto"/>
            <w:right w:val="none" w:sz="0" w:space="0" w:color="auto"/>
          </w:divBdr>
        </w:div>
        <w:div w:id="671369367">
          <w:marLeft w:val="0"/>
          <w:marRight w:val="0"/>
          <w:marTop w:val="0"/>
          <w:marBottom w:val="0"/>
          <w:divBdr>
            <w:top w:val="none" w:sz="0" w:space="0" w:color="auto"/>
            <w:left w:val="none" w:sz="0" w:space="0" w:color="auto"/>
            <w:bottom w:val="none" w:sz="0" w:space="0" w:color="auto"/>
            <w:right w:val="none" w:sz="0" w:space="0" w:color="auto"/>
          </w:divBdr>
        </w:div>
        <w:div w:id="1973364702">
          <w:marLeft w:val="0"/>
          <w:marRight w:val="0"/>
          <w:marTop w:val="0"/>
          <w:marBottom w:val="0"/>
          <w:divBdr>
            <w:top w:val="none" w:sz="0" w:space="0" w:color="auto"/>
            <w:left w:val="none" w:sz="0" w:space="0" w:color="auto"/>
            <w:bottom w:val="none" w:sz="0" w:space="0" w:color="auto"/>
            <w:right w:val="none" w:sz="0" w:space="0" w:color="auto"/>
          </w:divBdr>
        </w:div>
        <w:div w:id="2135250710">
          <w:marLeft w:val="0"/>
          <w:marRight w:val="0"/>
          <w:marTop w:val="0"/>
          <w:marBottom w:val="0"/>
          <w:divBdr>
            <w:top w:val="none" w:sz="0" w:space="0" w:color="auto"/>
            <w:left w:val="none" w:sz="0" w:space="0" w:color="auto"/>
            <w:bottom w:val="none" w:sz="0" w:space="0" w:color="auto"/>
            <w:right w:val="none" w:sz="0" w:space="0" w:color="auto"/>
          </w:divBdr>
        </w:div>
        <w:div w:id="296299475">
          <w:marLeft w:val="0"/>
          <w:marRight w:val="0"/>
          <w:marTop w:val="0"/>
          <w:marBottom w:val="0"/>
          <w:divBdr>
            <w:top w:val="none" w:sz="0" w:space="0" w:color="auto"/>
            <w:left w:val="none" w:sz="0" w:space="0" w:color="auto"/>
            <w:bottom w:val="none" w:sz="0" w:space="0" w:color="auto"/>
            <w:right w:val="none" w:sz="0" w:space="0" w:color="auto"/>
          </w:divBdr>
        </w:div>
        <w:div w:id="1067729467">
          <w:marLeft w:val="0"/>
          <w:marRight w:val="0"/>
          <w:marTop w:val="0"/>
          <w:marBottom w:val="0"/>
          <w:divBdr>
            <w:top w:val="none" w:sz="0" w:space="0" w:color="auto"/>
            <w:left w:val="none" w:sz="0" w:space="0" w:color="auto"/>
            <w:bottom w:val="none" w:sz="0" w:space="0" w:color="auto"/>
            <w:right w:val="none" w:sz="0" w:space="0" w:color="auto"/>
          </w:divBdr>
        </w:div>
        <w:div w:id="1924341755">
          <w:marLeft w:val="0"/>
          <w:marRight w:val="0"/>
          <w:marTop w:val="0"/>
          <w:marBottom w:val="0"/>
          <w:divBdr>
            <w:top w:val="none" w:sz="0" w:space="0" w:color="auto"/>
            <w:left w:val="none" w:sz="0" w:space="0" w:color="auto"/>
            <w:bottom w:val="none" w:sz="0" w:space="0" w:color="auto"/>
            <w:right w:val="none" w:sz="0" w:space="0" w:color="auto"/>
          </w:divBdr>
        </w:div>
        <w:div w:id="1951205502">
          <w:marLeft w:val="-38"/>
          <w:marRight w:val="0"/>
          <w:marTop w:val="0"/>
          <w:marBottom w:val="0"/>
          <w:divBdr>
            <w:top w:val="none" w:sz="0" w:space="0" w:color="auto"/>
            <w:left w:val="none" w:sz="0" w:space="0" w:color="auto"/>
            <w:bottom w:val="none" w:sz="0" w:space="0" w:color="auto"/>
            <w:right w:val="none" w:sz="0" w:space="0" w:color="auto"/>
          </w:divBdr>
        </w:div>
        <w:div w:id="1304775585">
          <w:marLeft w:val="0"/>
          <w:marRight w:val="0"/>
          <w:marTop w:val="0"/>
          <w:marBottom w:val="0"/>
          <w:divBdr>
            <w:top w:val="none" w:sz="0" w:space="0" w:color="auto"/>
            <w:left w:val="none" w:sz="0" w:space="0" w:color="auto"/>
            <w:bottom w:val="none" w:sz="0" w:space="0" w:color="auto"/>
            <w:right w:val="none" w:sz="0" w:space="0" w:color="auto"/>
          </w:divBdr>
        </w:div>
        <w:div w:id="1854491899">
          <w:marLeft w:val="0"/>
          <w:marRight w:val="0"/>
          <w:marTop w:val="0"/>
          <w:marBottom w:val="0"/>
          <w:divBdr>
            <w:top w:val="none" w:sz="0" w:space="0" w:color="auto"/>
            <w:left w:val="none" w:sz="0" w:space="0" w:color="auto"/>
            <w:bottom w:val="none" w:sz="0" w:space="0" w:color="auto"/>
            <w:right w:val="none" w:sz="0" w:space="0" w:color="auto"/>
          </w:divBdr>
        </w:div>
        <w:div w:id="1734739251">
          <w:marLeft w:val="0"/>
          <w:marRight w:val="0"/>
          <w:marTop w:val="0"/>
          <w:marBottom w:val="0"/>
          <w:divBdr>
            <w:top w:val="none" w:sz="0" w:space="0" w:color="auto"/>
            <w:left w:val="none" w:sz="0" w:space="0" w:color="auto"/>
            <w:bottom w:val="none" w:sz="0" w:space="0" w:color="auto"/>
            <w:right w:val="none" w:sz="0" w:space="0" w:color="auto"/>
          </w:divBdr>
        </w:div>
        <w:div w:id="2069110362">
          <w:marLeft w:val="0"/>
          <w:marRight w:val="0"/>
          <w:marTop w:val="0"/>
          <w:marBottom w:val="0"/>
          <w:divBdr>
            <w:top w:val="none" w:sz="0" w:space="0" w:color="auto"/>
            <w:left w:val="none" w:sz="0" w:space="0" w:color="auto"/>
            <w:bottom w:val="none" w:sz="0" w:space="0" w:color="auto"/>
            <w:right w:val="none" w:sz="0" w:space="0" w:color="auto"/>
          </w:divBdr>
        </w:div>
        <w:div w:id="2108042795">
          <w:marLeft w:val="0"/>
          <w:marRight w:val="0"/>
          <w:marTop w:val="0"/>
          <w:marBottom w:val="0"/>
          <w:divBdr>
            <w:top w:val="none" w:sz="0" w:space="0" w:color="auto"/>
            <w:left w:val="none" w:sz="0" w:space="0" w:color="auto"/>
            <w:bottom w:val="none" w:sz="0" w:space="0" w:color="auto"/>
            <w:right w:val="none" w:sz="0" w:space="0" w:color="auto"/>
          </w:divBdr>
        </w:div>
        <w:div w:id="1081105061">
          <w:marLeft w:val="-38"/>
          <w:marRight w:val="0"/>
          <w:marTop w:val="0"/>
          <w:marBottom w:val="0"/>
          <w:divBdr>
            <w:top w:val="none" w:sz="0" w:space="0" w:color="auto"/>
            <w:left w:val="none" w:sz="0" w:space="0" w:color="auto"/>
            <w:bottom w:val="none" w:sz="0" w:space="0" w:color="auto"/>
            <w:right w:val="none" w:sz="0" w:space="0" w:color="auto"/>
          </w:divBdr>
        </w:div>
        <w:div w:id="382337632">
          <w:marLeft w:val="0"/>
          <w:marRight w:val="0"/>
          <w:marTop w:val="0"/>
          <w:marBottom w:val="0"/>
          <w:divBdr>
            <w:top w:val="none" w:sz="0" w:space="0" w:color="auto"/>
            <w:left w:val="none" w:sz="0" w:space="0" w:color="auto"/>
            <w:bottom w:val="none" w:sz="0" w:space="0" w:color="auto"/>
            <w:right w:val="none" w:sz="0" w:space="0" w:color="auto"/>
          </w:divBdr>
        </w:div>
        <w:div w:id="822962858">
          <w:marLeft w:val="0"/>
          <w:marRight w:val="0"/>
          <w:marTop w:val="0"/>
          <w:marBottom w:val="0"/>
          <w:divBdr>
            <w:top w:val="none" w:sz="0" w:space="0" w:color="auto"/>
            <w:left w:val="none" w:sz="0" w:space="0" w:color="auto"/>
            <w:bottom w:val="none" w:sz="0" w:space="0" w:color="auto"/>
            <w:right w:val="none" w:sz="0" w:space="0" w:color="auto"/>
          </w:divBdr>
        </w:div>
        <w:div w:id="478965947">
          <w:marLeft w:val="-3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sn.com/CanPin/ts70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561</Words>
  <Characters>3204</Characters>
  <Application>Microsoft Office Word</Application>
  <DocSecurity>0</DocSecurity>
  <Lines>26</Lines>
  <Paragraphs>7</Paragraphs>
  <ScaleCrop>false</ScaleCrop>
  <Company>User</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马毅</dc:creator>
  <cp:keywords/>
  <dc:description/>
  <cp:lastModifiedBy>马毅</cp:lastModifiedBy>
  <cp:revision>4</cp:revision>
  <dcterms:created xsi:type="dcterms:W3CDTF">2017-11-14T04:48:00Z</dcterms:created>
  <dcterms:modified xsi:type="dcterms:W3CDTF">2017-11-14T05:01:00Z</dcterms:modified>
</cp:coreProperties>
</file>