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hint="eastAsia" w:ascii="宋体" w:hAnsi="宋体"/>
          <w:b/>
          <w:bCs/>
          <w:sz w:val="48"/>
          <w:szCs w:val="48"/>
        </w:rPr>
        <w:t>四川司法警官职业学院</w:t>
      </w:r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元旦晚会灯光舞台租</w:t>
      </w:r>
      <w:bookmarkStart w:id="0" w:name="_GoBack"/>
      <w:bookmarkEnd w:id="0"/>
      <w:r>
        <w:rPr>
          <w:rFonts w:hint="eastAsia" w:ascii="宋体" w:hAnsi="宋体"/>
          <w:b/>
          <w:bCs/>
          <w:sz w:val="48"/>
          <w:szCs w:val="48"/>
          <w:lang w:val="en-US" w:eastAsia="zh-CN"/>
        </w:rPr>
        <w:t>赁</w:t>
      </w:r>
      <w:r>
        <w:rPr>
          <w:rFonts w:hint="eastAsia" w:ascii="宋体" w:hAnsi="宋体"/>
          <w:b/>
          <w:bCs/>
          <w:sz w:val="48"/>
          <w:szCs w:val="48"/>
        </w:rPr>
        <w:t>项目招投标评分表</w:t>
      </w:r>
    </w:p>
    <w:p>
      <w:pPr>
        <w:rPr>
          <w:sz w:val="48"/>
          <w:szCs w:val="48"/>
        </w:rPr>
      </w:pPr>
    </w:p>
    <w:tbl>
      <w:tblPr>
        <w:tblStyle w:val="4"/>
        <w:tblW w:w="14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547"/>
        <w:gridCol w:w="1083"/>
        <w:gridCol w:w="6675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47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评分因素及权重</w:t>
            </w:r>
          </w:p>
        </w:tc>
        <w:tc>
          <w:tcPr>
            <w:tcW w:w="1083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66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评分标准</w:t>
            </w:r>
          </w:p>
        </w:tc>
        <w:tc>
          <w:tcPr>
            <w:tcW w:w="2834" w:type="dxa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满足招标文件要求且投标价格最低的投标报价为评标基准价，其价格分为满分。其他投标人的价格分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得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分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=（基准价/投标报价）x30分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技术指标和配置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完全符合招标文件要求没有负偏离得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20分;不符合一项则扣一分，技术指标和配置高于招标要求一项则加一分。总分不超过25分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有大型政府、学校晚会经历的，一次活动加5分；有企业外地事业单位大型晚会经历的，一次活动加2分。总分不超过15分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设计方案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符合实地勘察情况，适应节目需求，优秀得25分，一般得20分，差的不得分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财务状况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67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以投标人近两年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年度经审计后的财务报表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，进行评价，财务状况良好的得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3分；一般的得1分；差的不得分。</w:t>
            </w:r>
          </w:p>
        </w:tc>
        <w:tc>
          <w:tcPr>
            <w:tcW w:w="283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5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投标文件的规范性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投标文件制作规范，得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2分，有一项细微偏差扣0.5分，直到该项分值扣完为止。</w:t>
            </w:r>
          </w:p>
        </w:tc>
        <w:tc>
          <w:tcPr>
            <w:tcW w:w="28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总      分</w:t>
            </w:r>
          </w:p>
        </w:tc>
        <w:tc>
          <w:tcPr>
            <w:tcW w:w="28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10B02"/>
    <w:rsid w:val="2BB367D7"/>
    <w:rsid w:val="4B055DBB"/>
    <w:rsid w:val="5C9D7454"/>
    <w:rsid w:val="67E979E5"/>
    <w:rsid w:val="6E310B02"/>
    <w:rsid w:val="73B417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2017-11-30T03:20:00Z</dcterms:created>
  <dc:creator>jxtw1</dc:creator>
  <cp:lastModifiedBy>Administrator</cp:lastModifiedBy>
  <cp:lastPrinted>2017-11-30T07:36:45Z</cp:lastPrinted>
  <dcterms:modified xsi:type="dcterms:W3CDTF">2017-11-30T07:37:28Z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